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Equity Matrix - Australia</w:t>
      </w:r>
      <w:r w:rsidR="00480329"/>
    </w:p>
    <w:p w:rsidRPr="00BC7873" w:rsidR="00BC7873" w:rsidP="00D354EF" w:rsidRDefault="00051AB4" w14:paraId="2476CC56" w14:textId="2FB25FA9">
      <w:pPr>
        <w:pStyle w:val="Title"/>
      </w:pPr>
      <w:r w:rsidRPr="00BC7873">
        <w:t>RS/RSU</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Taxation of Employee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Awards are subject to tax at grant, unless they are subject to a "real risk of forfeiture" and certain other conditions are met.</w:t>
              </w:r>
            </w:p>
            <w:p>
              <w:pPr>
                <w:pStyle w:val="BodyText"/>
              </w:pPr>
              <w:r>
                <w:t xml:space="preserve">Awards that are subject to vesting conditions should be considered subject to a "real risk of forfeiture." Provided the award is considered to be subject to a real risk of forfeiture at grant and the other conditions are met, tax will generally be at the earlier of vesting, or 15 year anniversary of date of grant.</w:t>
              </w:r>
            </w:p>
            <w:p>
              <w:pPr>
                <w:pStyle w:val="BodyText"/>
              </w:pPr>
              <w:r>
                <w:t xml:space="preserve">The taxable amount will be the market value of the shares on the relevant date (as determined under Australian tax law).</w:t>
              </w:r>
            </w:p>
            <w:p>
              <w:pPr>
                <w:pStyle w:val="BodyText"/>
              </w:pPr>
              <w:r>
                <w:t xml:space="preserve">Tax on sale. If shares are held for at least 12 months, 50% of capital gain excluded from tax.</w:t>
              </w:r>
            </w:p>
            <w:p>
              <w:pPr>
                <w:pStyle w:val="BodyText"/>
              </w:pPr>
              <w:r>
                <w:rPr>
                  <w:b/>
                </w:rPr>
                <w:t xml:space="preserve">NOTE:</w:t>
              </w:r>
            </w:p>
            <w:p>
              <w:pPr>
                <w:pStyle w:val="BodyText"/>
              </w:pPr>
              <w:r>
                <w:t xml:space="preserve">Generally, if sale occurs within 30 days of taxable event for RS/RSU, sale will be considered relevant taxable event and sale price will be used in determining the taxable amount, with no additional gain/loss on the sale.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Sub Deduction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May be allowed if the subsidiary reimburses the parent under a written agreement.</w:t>
              </w:r>
            </w:p>
            <w:p>
              <w:pPr>
                <w:pStyle w:val="BodyText"/>
              </w:pPr>
              <w:r>
                <w:t xml:space="preserve">Please contact Baker McKenzie for details.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Withholding and Reporting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Income Tax:</w:t>
              </w:r>
              <w:r>
                <w:br/>
              </w:r>
              <w:r>
                <w:t xml:space="preserve">Employers required to report taxable events to the tax authorities and the employee after the end of the tax year (June 30).</w:t>
              </w:r>
            </w:p>
            <w:p>
              <w:pPr>
                <w:pStyle w:val="BodyText"/>
              </w:pPr>
              <w:r>
                <w:t xml:space="preserve">Withholding required only if employee tax ID not provided.</w:t>
              </w:r>
              <w:r>
                <w:br/>
              </w:r>
              <w:r>
                <w:br/>
              </w:r>
              <w:r>
                <w:rPr>
                  <w:b/>
                </w:rPr>
                <w:t xml:space="preserve">Social Insurance Contribution:</w:t>
              </w:r>
              <w:r>
                <w:br/>
              </w:r>
              <w:r>
                <w:t xml:space="preserve">Yes, Medicare Levy (including possibly a Medicare Levy surcharge) (employee only).</w:t>
              </w:r>
            </w:p>
            <w:p>
              <w:pPr>
                <w:pStyle w:val="BodyText"/>
              </w:pPr>
              <w:r>
                <w:t xml:space="preserve">No withholding obligation for levy/surcharge.</w:t>
              </w:r>
            </w:p>
            <w:p>
              <w:pPr>
                <w:pStyle w:val="BodyText"/>
              </w:pPr>
              <w:r>
                <w:t xml:space="preserve">Payroll tax (employer only) applies to RS/RSU benefits in all Australian states and territories.</w:t>
              </w:r>
            </w:p>
            <w:p>
              <w:pPr>
                <w:pStyle w:val="BodyText"/>
              </w:pPr>
              <w:r>
                <w:t xml:space="preserve">Generally, payroll tax due grant, although in all states and territories, employer may elect to pay tax at vesting of RS/RSUs.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Securities Restrictions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 offers made on or after 1 October 2022, a new self-executing exemption applies for awards granted for no consideration (such as RSUs). A securities legend must be included in the award documents to reflect reliance on the exemption.</w:t>
              </w:r>
            </w:p>
            <w:p>
              <w:pPr>
                <w:pStyle w:val="BodyText"/>
              </w:pPr>
              <w:r>
                <w:t xml:space="preserve">Shareholders of Australian subsidiary may have to approve special termination benefits provided to directors of the Australian subsidiary.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Exchange Controls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Reporting required for cash transactions in excess of AUD 10,000 and international fund transfers of any amount. Usually handled by the bank.</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Plan Entitlement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not, if right to terminate plan is reserved in writing.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Data Privacy - RS/RSU</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Written consent from employees for the transfer of data abroad is strongly recommended.</w:t>
              </w:r>
            </w:p>
            <w:p>
              <w:pPr>
                <w:pStyle w:val="BodyText"/>
              </w:pPr>
              <w:r>
                <w:t xml:space="preserve">Companies should check with their data privacy counsel to determine any other requirements (such as notification or registration obligations).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https://resourcehub.bakermckenzie.com/en/resources/global-equity-matrix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