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Global Equity Matrix</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pStyle w:val="Heading3"/>
          </w:pPr>
          <w:r>
            <w:rPr>
              <w:color w:val="C00000"/>
            </w:rPr>
            <w:t xml:space="preserve">Global Equity Matrix</w:t>
          </w:r>
        </w:p>
        <w:p>
          <w:pPr>
            <w:pStyle w:val="BodyText"/>
          </w:pPr>
          <w:r>
            <w:drawing>
              <wp:inline distT="0" distB="0" distL="0" distR="0">
                <wp:extent cx="7620000" cy="2857500"/>
                <wp:effectExtent l="19050" t="0" r="0" b="0"/>
                <wp:docPr id="2" name="https://resourcehub.bakermckenzie.com/en/-/media/global-equity-matrix/images/case1407201_banner_kkhan.jp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global-equity-matrix/images/case1407201_banner_kkhan.jpg?sc_lang=en" descr="image_banner"/>
                        <pic:cNvPicPr>
                          <a:picLocks noChangeAspect="1" noChangeArrowheads="1"/>
                        </pic:cNvPicPr>
                      </pic:nvPicPr>
                      <pic:blipFill>
                        <a:blip r:embed="Rd11d6ea29d684281"/>
                        <a:srcRect/>
                        <a:stretch>
                          <a:fillRect/>
                        </a:stretch>
                      </pic:blipFill>
                      <pic:spPr bwMode="auto">
                        <a:xfrm>
                          <a:off x="0" y="0"/>
                          <a:ext cx="7620000" cy="2857500"/>
                        </a:xfrm>
                        <a:prstGeom prst="rect">
                          <a:avLst/>
                        </a:prstGeom>
                      </pic:spPr>
                    </pic:pic>
                  </a:graphicData>
                </a:graphic>
              </wp:inline>
            </w:drawing>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jc w:val="both"/>
          </w:pPr>
          <w:r>
            <w:rPr>
              <w:i/>
              <w:sz w:val="18"/>
            </w:rPr>
            <w:t xml:space="preserve">This content was last reviewed around September 2023. All content is for informational purposes only and may not reflect the most current legal and regulatory developments. All summaries of the laws, regulations and practice are subject to change.</w:t>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r>
            <w:t xml:space="preserve">Information on the key compliance issues for employee share and cash awards, covering tax and securities, exchange control, labor and data privacy issues in 45 countries.</w:t>
          </w:r>
        </w:p>
        <w:p>
          <w:pPr>
            <w:pStyle w:val="BodyText"/>
          </w:pPr>
          <w:r>
            <w:t xml:space="preserve">Click </w:t>
          </w:r>
          <w:hyperlink w:history="true" r:id="Rdaf251a1e5504763">
            <w:r>
              <w:rPr>
                <w:rStyle w:val="Hyperlink"/>
              </w:rPr>
              <w:t xml:space="preserve">HERE</w:t>
            </w:r>
          </w:hyperlink>
          <w:r>
            <w:t xml:space="preserve"> to submit general questions.</w:t>
          </w:r>
        </w:p>
        <w:p>
          <w:pPr>
            <w:pStyle w:val="BodyText"/>
          </w:pPr>
          <w:pPr>
            <w:pStyle w:val="Heading6"/>
          </w:pPr>
          <w:r>
            <w:t xml:space="preserve">Baker McKenzie’s Global Equity Services Practice</w:t>
          </w:r>
        </w:p>
        <w:p>
          <w:pPr>
            <w:pStyle w:val="BodyText"/>
          </w:pPr>
          <w:r>
            <w:t xml:space="preserve">Baker McKenzie's Global Equity Services practice works with multinational employers to design, implement, and maintain equity-based compensation programs for global employees, consultants, and directors. We design programs, considering both the employer and employee, to anticipate and minimize adverse accounting effects and to satisfy tax, securities, labor, exchange control, and data privacy compliance considerations globally. We provide legal advice on all aspects of executive compensation and equity benefits, from compliance to litigation. Leveraging our unmatched global network, we work with Baker McKenzie lawyers around the world to provide a coordinated, detailed approach to any share plan implementation.</w:t>
          </w:r>
        </w:p>
        <w:p>
          <w:pPr>
            <w:pStyle w:val="BodyText"/>
          </w:pPr>
          <w:r>
            <w:t xml:space="preserve">For more information, visit: </w:t>
          </w:r>
          <w:hyperlink w:history="true" r:id="R5252284f62624832">
            <w:r>
              <w:rPr>
                <w:rStyle w:val="Hyperlink"/>
              </w:rPr>
              <w:t xml:space="preserve">www.bakermckenzie.com/GES</w:t>
            </w:r>
          </w:hyperlink>
          <w:r>
            <w:t xml:space="preserve">.</w:t>
          </w:r>
        </w:p>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https://resourcehub.bakermckenzie.com/en/resources/global-equity-matrix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 xmlns:w="http://schemas.openxmlformats.org/wordprocessingml/2006/main" w:type="paragraph" w:styleId="Heading6">
    <w:name w:val="heading 6"/>
    <w:basedOn w:val="Normal"/>
    <w:next w:val="Normal"/>
    <w:link w:val="Heading6Char"/>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mailto:ges@bakermckenzie.com?subject=Matrix%20-%20General%20Inquiry" TargetMode="External" Id="Rdaf251a1e5504763" /><Relationship Type="http://schemas.openxmlformats.org/officeDocument/2006/relationships/hyperlink" Target="https://www.bakermckenzie.com/en/expertise/areasofpractice/executive-compensation-and-incentives" TargetMode="External" Id="R5252284f62624832" /><Relationship Type="http://schemas.openxmlformats.org/officeDocument/2006/relationships/image" Target="/media/image.jpg" Id="Rd11d6ea29d684281"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