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Tax Dispute Resolution Timelines</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both"/>
          </w:pPr>
          <w:r>
            <w:rPr>
              <w:i/>
              <w:sz w:val="18"/>
            </w:rPr>
            <w:t xml:space="preserve">The content's last review date is indicated on each page. All content is for informational purposes only and may not reflect the most current legal and regulatory developments. All summaries of the laws, regulations and practice are subject to change.</w:t>
          </w:r>
          <w:r>
            <w:rPr>
              <w:sz w:val="18"/>
            </w:rPr>
            <w:t xml:space="preserve"> </w:t>
          </w:r>
        </w:p>
        <w:p>
          <w:pPr>
            <w:pStyle w:val="BodyText"/>
          </w:pPr>
          <w:pPr>
            <w:jc w:val="center"/>
          </w:pPr>
          <w:r>
            <w:rPr>
              <w:color w:val="C00000"/>
            </w:rPr>
            <w:t xml:space="preserve">Global Tax Dispute Resolution Timelines</w:t>
          </w:r>
        </w:p>
        <w:p>
          <w:pPr>
            <w:pStyle w:val="BodyText"/>
          </w:pPr>
          <w:pPr>
            <w:jc w:val="center"/>
          </w:pPr>
          <w:r>
            <w:rPr>
              <w:color w:val="C00000"/>
            </w:rPr>
            <w:t xml:space="preserve">An interactive tool covering international and national tax disputes resolution timelines across the globe</w:t>
          </w:r>
        </w:p>
        <w:p>
          <w:pPr>
            <w:pStyle w:val="BodyText"/>
          </w:pPr>
          <w:pPr>
            <w:jc w:val="left"/>
          </w:pPr>
          <w:r>
            <w:t xml:space="preserve">As a result of the continued growth of tax transparency and global tax co-operation, tax authorities are gaining access to taxpayer information on a previously unimaginable scale, and there has been much focus on the activities of multi-national enterprises. Consequently, we are witnessing a marked increase in the number of tax audits, investigations, and tax cases being contested, many of which are multijurisdictional. In addition, the COVID-19 pandemic and geopolitical volatility has hit economies and markets hard, and the extent and length of economic downturns are still a big unknown. Tax audits, investigations, and controversies are predicted to continue to rise in the coming years as governments may seek to rely on tax law enforcement to mitigate public budget deficits.</w:t>
          </w:r>
        </w:p>
        <w:p>
          <w:pPr>
            <w:pStyle w:val="BodyText"/>
          </w:pPr>
          <w:r>
            <w:rPr>
              <w:b/>
            </w:rPr>
            <w:t xml:space="preserve">This interactive tool provides an overview of many National and International Tax Dispute Resolution timings when facing a national or international tax disputes. The tool is made up of three sections:</w:t>
          </w:r>
        </w:p>
        <w:p>
          <w:pPr>
            <w:pStyle w:val="BodyText"/>
          </w:pPr>
          <w:pPr>
            <w:pStyle w:val="ListParagraph"/>
            <w:numPr>
              <w:ilvl w:val="0"/>
              <w:numId w:val="19"/>
            </w:numPr>
          </w:pPr>
          <w:r>
            <w:t xml:space="preserve">International Tax Dispute Resolution Timelines Gnatt chart, which illustrates visually the estimated time period involved under three resolution procedures</w:t>
          </w:r>
        </w:p>
        <w:p>
          <w:pPr>
            <w:pStyle w:val="BodyText"/>
          </w:pPr>
          <w:pPr>
            <w:pStyle w:val="ListParagraph"/>
            <w:numPr>
              <w:ilvl w:val="0"/>
              <w:numId w:val="19"/>
            </w:numPr>
          </w:pPr>
          <w:r>
            <w:t xml:space="preserve">National Tax Dispute Resolution Timelines Interactive Map tool, providing high level Tax Dispute Resolution information on a national basis for 38 jurisdictions</w:t>
          </w:r>
        </w:p>
        <w:p>
          <w:pPr>
            <w:pStyle w:val="BodyText"/>
          </w:pPr>
          <w:pPr>
            <w:pStyle w:val="ListParagraph"/>
            <w:numPr>
              <w:ilvl w:val="0"/>
              <w:numId w:val="19"/>
            </w:numPr>
          </w:pPr>
          <w:r>
            <w:t xml:space="preserve">Compare national tax dispute resolution data across jurisdictions</w:t>
          </w:r>
        </w:p>
        <w:p>
          <w:pPr>
            <w:pStyle w:val="BodyText"/>
          </w:pPr>
          <w:r>
            <w:t xml:space="preserve"> </w:t>
          </w:r>
        </w:p>
        <w:p>
          <w:pPr>
            <w:pStyle w:val="BodyText"/>
          </w:pPr>
          <w:pPr>
            <w:jc w:val="center"/>
          </w:pPr>
          <w:r>
            <w:rPr>
              <w:color w:val="C00000"/>
            </w:rPr>
            <w:t xml:space="preserve">How to use the guide</w:t>
          </w:r>
        </w:p>
      </w:sdtContent>
    </w:sdt>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r>
            <w:t xml:space="preserve">Please note that although the contents on this website is a helpful source of information, we recommend using these materials for reference only, and not as a substitute for obtaining detailed tax advice. For professional advice and assistance, please contact your usual Baker McKenzie contact.</w:t>
          </w:r>
        </w:p>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https://resourcehub.bakermckenzie.com/en/resources/tax-dispute-resolution-timelines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multiLevelType w:val="singleLevel"/>
    <w:lvl w:ilvl="0">
      <w:start w:val="1"/>
      <w:numFmt w:val="decimal"/>
      <w:lvlText w:val="%1."/>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
      <w:pPr>
        <w:ind w:left="420" w:hanging="360"/>
      </w:pPr>
    </w:lvl>
  </w:abstractNum>
  <w:abstractNum w:abstractNumId="21">
    <w:multiLevelType w:val="singleLevel"/>
    <w:lvl w:ilvl="0">
      <w:numFmt w:val="bullet"/>
      <w:lvlText w:val="o"/>
      <w:pPr>
        <w:ind w:left="420" w:hanging="360"/>
      </w:pPr>
    </w:lvl>
  </w:abstractNum>
  <w:abstractNum w:abstractNumId="22">
    <w:multiLevelType w:val="singleLevel"/>
    <w:lvl w:ilvl="0">
      <w:start w:val="1"/>
      <w:numFmt w:val="upperLetter"/>
      <w:lvlText w:val="%1."/>
      <w:pPr>
        <w:ind w:left="420" w:hanging="360"/>
      </w:pPr>
    </w:lvl>
  </w:abstractNum>
  <w:abstractNum w:abstractNumId="23">
    <w:multiLevelType w:val="singleLevel"/>
    <w:lvl w:ilvl="0">
      <w:start w:val="1"/>
      <w:numFmt w:val="lowerLetter"/>
      <w:lvlText w:val="%1."/>
      <w:pPr>
        <w:ind w:left="420" w:hanging="360"/>
      </w:pPr>
    </w:lvl>
  </w:abstractNum>
  <w:abstractNum w:abstractNumId="24">
    <w:multiLevelType w:val="singleLevel"/>
    <w:lvl w:ilvl="0">
      <w:start w:val="1"/>
      <w:numFmt w:val="upperRoman"/>
      <w:lvlText w:val="%1."/>
      <w:pPr>
        <w:ind w:left="420" w:hanging="360"/>
      </w:pPr>
    </w:lvl>
  </w:abstractNum>
  <w:abstractNum w:abstractNumId="25">
    <w:multiLevelType w:val="singleLevel"/>
    <w:lvl w:ilvl="0">
      <w:start w:val="1"/>
      <w:numFmt w:val="lowerRoman"/>
      <w:lvlText w:val="%1."/>
      <w:pPr>
        <w:ind w:left="420" w:hanging="360"/>
      </w:p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 w:numId="19">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 xmlns:w="http://schemas.openxmlformats.org/wordprocessingml/2006/main" w:type="paragraph" w:styleId="Heading5">
    <w:name w:val="heading 5"/>
    <w:basedOn w:val="Normal"/>
    <w:next w:val="Normal"/>
    <w:link w:val="Heading5Char"/>
    <w:unhideWhenUsed/>
    <w:qFormat/>
    <w:pPr>
      <w:keepNext/>
      <w:keepLines/>
      <w:spacing w:before="200" w:after="0"/>
      <w:outlineLvl w:val="4"/>
    </w:pPr>
    <w:rPr>
      <w:rFonts w:asciiTheme="majorHAnsi" w:hAnsiTheme="majorHAnsi" w:eastAsiaTheme="majorEastAsia"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