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Cross-Border Listings Guide</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r>
            <w:drawing>
              <wp:inline distT="0" distB="0" distL="0" distR="0">
                <wp:extent cx="7620000" cy="2857500"/>
                <wp:effectExtent l="19050" t="0" r="0" b="0"/>
                <wp:docPr id="2" name="https://resourcehub.bakermckenzie.com/en/-/media/crossborder-listings-handbook/images/2024-10-edition/case2910257_banner_800x300px_v1.jpg?rev=62d89675594b43d59dadb420d4d9962e&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crossborder-listings-handbook/images/2024-10-edition/case2910257_banner_800x300px_v1.jpg?rev=62d89675594b43d59dadb420d4d9962e&amp;sc_lang=en" descr="Banner small v1"/>
                        <pic:cNvPicPr>
                          <a:picLocks noChangeAspect="1" noChangeArrowheads="1"/>
                        </pic:cNvPicPr>
                      </pic:nvPicPr>
                      <pic:blipFill>
                        <a:blip r:embed="R733f8a53db794416"/>
                        <a:srcRect/>
                        <a:stretch>
                          <a:fillRect/>
                        </a:stretch>
                      </pic:blipFill>
                      <pic:spPr bwMode="auto">
                        <a:xfrm>
                          <a:off x="0" y="0"/>
                          <a:ext cx="7620000" cy="2857500"/>
                        </a:xfrm>
                        <a:prstGeom prst="rect">
                          <a:avLst/>
                        </a:prstGeom>
                      </pic:spPr>
                    </pic:pic>
                  </a:graphicData>
                </a:graphic>
              </wp:inline>
            </w:drawing>
          </w:r>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r>
            <w:rPr>
              <w:b/>
            </w:rPr>
            <w:t xml:space="preserve">About Baker McKenzie's Cross-Border Listings Guide</w:t>
          </w:r>
        </w:p>
        <w:p>
          <w:pPr>
            <w:pStyle w:val="BodyText"/>
          </w:pPr>
          <w:r>
            <w:t xml:space="preserve">The intensified competition between stock exchanges to win cross-border listings has created opportunity and increased optionality for companies looking beyond their own borders to raise capital. However, with an ever-increasing range of capital raising and listing venue options, decision makers need a legal advisor who can provide clear guidance on the multiplicity of related legal and regulatory issues. Baker McKenzie is exceptionally well positioned to simplify the complexity and provide expert guidance. </w:t>
          </w:r>
        </w:p>
        <w:p>
          <w:pPr>
            <w:pStyle w:val="BodyText"/>
          </w:pPr>
          <w:r>
            <w:t xml:space="preserve">Our locally embedded, globally experienced lawyers help choose the best option for a successful, business-critical transaction. We have excellent relationships with all major and emerging stock exchanges and regulators, and our clients benefit from our in-depth understanding of the legal, regulatory and cultural frameworks that are critical for successful deals. </w:t>
          </w:r>
        </w:p>
        <w:p>
          <w:pPr>
            <w:pStyle w:val="BodyText"/>
          </w:pPr>
          <w:r>
            <w:t xml:space="preserve">Now in its tenth, most expansive edition yet, </w:t>
          </w:r>
          <w:r>
            <w:rPr>
              <w:b/>
            </w:rPr>
            <w:t xml:space="preserve">Baker McKenzie's Cross-Border Listings Guide</w:t>
          </w:r>
          <w:r>
            <w:t xml:space="preserve"> is a well-established resource for investment banks, issuers and other market participants worldwide. Written by our capital markets experts from across the globe, the Guide includes summaries of listing requirements for 49 listing venues across 42 jurisdictions, including each of the top ten largest exchanges globally. </w:t>
          </w:r>
        </w:p>
        <w:p>
          <w:pPr>
            <w:pStyle w:val="BodyText"/>
          </w:pPr>
          <w:r>
            <w:rPr>
              <w:b/>
            </w:rPr>
            <w:t xml:space="preserve"> </w:t>
          </w:r>
        </w:p>
        <w:p>
          <w:pPr>
            <w:pStyle w:val="BodyText"/>
          </w:pPr>
          <w:r>
            <w:rPr>
              <w:b/>
            </w:rPr>
            <w:t xml:space="preserve">Contact us</w:t>
          </w:r>
        </w:p>
        <w:p>
          <w:pPr>
            <w:pStyle w:val="BodyText"/>
          </w:pPr>
          <w:r>
            <w:t xml:space="preserve">To discuss a cross-border listing or to answer your questions, please do </w:t>
          </w:r>
          <w:r>
            <w:rPr>
              <w:b/>
            </w:rPr>
            <w:t xml:space="preserve">get in touch</w:t>
          </w:r>
          <w:r>
            <w:t xml:space="preserve">. Contact details for each listing venue can be found at the end of the relevant chapter.</w:t>
          </w:r>
        </w:p>
        <w:p>
          <w:pPr>
            <w:pStyle w:val="BodyText"/>
          </w:pPr>
          <w:r>
            <w:t xml:space="preserve">To </w:t>
          </w:r>
          <w:r>
            <w:rPr>
              <w:b/>
            </w:rPr>
            <w:t xml:space="preserve">learn more</w:t>
          </w:r>
          <w:r>
            <w:t xml:space="preserve"> about our Capital Markets expertise, please visit our website </w:t>
          </w:r>
          <w:hyperlink w:history="true" r:id="Rbcfc41e21f914533">
            <w:r>
              <w:rPr>
                <w:rStyle w:val="Hyperlink"/>
              </w:rPr>
              <w:t xml:space="preserve">here</w:t>
            </w:r>
          </w:hyperlink>
          <w:r>
            <w:t xml:space="preserve">. </w:t>
          </w:r>
        </w:p>
        <w:p>
          <w:pPr>
            <w:pStyle w:val="BodyText"/>
          </w:pPr>
          <w:pPr>
            <w:ind w:left="-1"/>
          </w:pPr>
          <w:r>
            <w:t xml:space="preserve">To </w:t>
          </w:r>
          <w:r>
            <w:rPr>
              <w:b/>
            </w:rPr>
            <w:t xml:space="preserve">receive a pdf</w:t>
          </w:r>
          <w:r>
            <w:t xml:space="preserve"> version of Baker McKenzie's Cross-Border Listings Guide,</w:t>
          </w:r>
          <w:r>
            <w:rPr>
              <w:b/>
            </w:rPr>
            <w:t xml:space="preserve"> </w:t>
          </w:r>
          <w:r>
            <w:t xml:space="preserve">please send us your request </w:t>
          </w:r>
          <w:hyperlink w:history="true" r:id="Raaea18bd6ca149b8">
            <w:r>
              <w:rPr>
                <w:rStyle w:val="Hyperlink"/>
              </w:rPr>
              <w:t xml:space="preserve">here</w:t>
            </w:r>
          </w:hyperlink>
          <w:r>
            <w:t xml:space="preserve">.</w:t>
          </w:r>
        </w:p>
        <w:p>
          <w:pPr>
            <w:pStyle w:val="BodyText"/>
          </w:pPr>
          <w:pPr>
            <w:ind/>
          </w:pPr>
          <w:r>
            <w:rPr>
              <w:i/>
              <w:color w:val="5F5F5F"/>
              <w:sz w:val="14"/>
              <w:bdr w:val="none" w:color="000000" w:sz="16" w:space="1"/>
            </w:rPr>
            <w:t xml:space="preserve"> </w:t>
          </w:r>
        </w:p>
        <w:p>
          <w:pPr>
            <w:pStyle w:val="BodyText"/>
          </w:pPr>
          <w:pPr>
            <w:ind/>
          </w:pPr>
          <w:r>
            <w:rPr>
              <w:i/>
              <w:color w:val="5F5F5F"/>
              <w:sz w:val="18"/>
              <w:bdr w:val="none" w:color="000000" w:sz="16" w:space="1"/>
            </w:rPr>
            <w:t xml:space="preserve">The information on this site is a high-level summary that is intended for general information and not as legal advice for any specific purpose. It is not intended to be a substitute for reference to (and compliance with) the detailed provisions of applicable listing standards, laws, rules, regulations or forms. </w:t>
          </w:r>
          <w:r>
            <w:rPr>
              <w:b/>
              <w:i/>
              <w:color w:val="5F5F5F"/>
              <w:sz w:val="18"/>
              <w:bdr w:val="none" w:color="000000" w:sz="16" w:space="1"/>
            </w:rPr>
            <w:t xml:space="preserve">All information in this document is subject to change and is current only as of 1 January 2024.</w:t>
          </w:r>
        </w:p>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expertise/practices/capital-markets" TargetMode="External" Id="Rbcfc41e21f914533" /><Relationship Type="http://schemas.openxmlformats.org/officeDocument/2006/relationships/hyperlink" Target="https://bakerxchange.com/s/6e5b7fb3289fd51323d8e40fcc06d200e5aa2184" TargetMode="External" Id="Raaea18bd6ca149b8" /><Relationship Type="http://schemas.openxmlformats.org/officeDocument/2006/relationships/image" Target="/media/image.jpg" Id="R733f8a53db794416"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