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025B2B" w:rsidRDefault="00421ABE" w14:paraId="5605F879" w14:textId="3E2C2C85">
      <w:pPr>
        <w:pStyle w:val="Subtitle"/>
      </w:pPr>
      <w:r w:rsidRPr="00BC7873">
        <w:t>Global Legal Guide for Luxury &amp; Fashion Companies</w:t>
      </w:r>
    </w:p>
    <w:p w:rsidRPr="005C2C83" w:rsidR="008020A8" w:rsidP="005C2C83" w:rsidRDefault="00761F2A" w14:paraId="655AAA20" w14:textId="71DF5B2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97103A" w:rsidTr="00C93D03" w14:paraId="41A93E73" w14:textId="77777777">
        <w:trPr>
          <w:tblHeader/>
        </w:trPr>
        <w:tc>
          <w:tcPr>
            <w:tcW w:w="8990" w:type="dxa"/>
          </w:tcPr>
          <w:p w:rsidR="0097103A" w:rsidP="0097103A" w:rsidRDefault="0097103A" w14:paraId="04335DFC" w14:textId="5E9F37C4">
            <w:pPr>
              <w:pStyle w:val="TOCHeading"/>
              <w:spacing w:after="160"/>
            </w:pPr>
            <w:r>
              <w:lastRenderedPageBreak/>
              <w:t>Contents</w:t>
            </w:r>
          </w:p>
        </w:tc>
      </w:tr>
      <w:tr w:rsidR="0097103A" w:rsidTr="0097103A" w14:paraId="2EAF8FE2"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97103A" w:rsidP="0097103A" w:rsidRDefault="0097103A" w14:paraId="14CD9A92" w14:textId="01B2A8FB">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001D13A1" w:rsidRDefault="001D13A1" w14:paraId="623D7F49" w14:textId="4A343F5E">
      <w:pPr>
        <w:spacing w:after="160" w:line="259" w:lineRule="auto"/>
      </w:pPr>
      <w:r>
        <w:br w:type="page"/>
      </w:r>
    </w:p>
    <w:bookmarkStart w:name="_Toc42605613" w:displacedByCustomXml="next" w:id="1"/>
    <w:bookmarkEnd w:displacedByCustomXml="prev" w:id="1"/>
    <w:bookmarkStart w:name="_Toc42605614" w:displacedByCustomXml="next" w:id="2"/>
    <w:sdt>
      <w:sdtPr>
        <w:rPr>
          <w:rFonts w:eastAsiaTheme="minorHAnsi" w:cstheme="minorBidi"/>
          <w:b/>
          <w:color w:val="auto"/>
          <w:sz w:val="20"/>
          <w:szCs w:val="20"/>
        </w:rPr>
        <w:id w:val="655893973"/>
        <w:placeholder>
          <w:docPart w:val="DefaultPlaceholder_-1854013435"/>
        </w:placeholder>
        <w15:repeatingSectionItem/>
      </w:sdtPr>
      <w:sdtEndPr>
        <w:rPr>
          <w:b w:val="0"/>
          <w:szCs w:val="22"/>
        </w:rPr>
      </w:sdtEndPr>
      <w:sdtContent>
        <w:bookmarkEnd w:displacedByCustomXml="next" w:id="2"/>
        <w:p>
          <w:pPr>
            <w:pStyle w:val="BodyText"/>
          </w:pPr>
          <w:pPr>
            <w:jc w:val="left"/>
          </w:pPr>
          <w:r>
            <w:rPr>
              <w:color w:val="AD122A"/>
            </w:rPr>
            <w:t xml:space="preserve">GLOBAL LEGAL GUIDE FOR LUXURY AND FASHION COMPANIES</w:t>
          </w:r>
        </w:p>
        <w:p>
          <w:pPr>
            <w:pStyle w:val="BodyText"/>
          </w:pPr>
          <w:r>
            <w:rPr>
              <w:i/>
              <w:sz w:val="18"/>
            </w:rPr>
            <w:t xml:space="preserve">This content was last reviewed around May 2022. All content is for informational purposes only and may not reflect the most current legal and regulatory developments. All summaries of the laws, regulations and practice are subject to change.</w:t>
          </w:r>
        </w:p>
        <w:p>
          <w:pPr>
            <w:pStyle w:val="BodyText"/>
          </w:pPr>
          <w:pPr>
            <w:jc w:val="center"/>
          </w:pPr>
          <w:hyperlink w:history="true" r:id="Rb3126ed4c36440a2">
            <w:r>
              <w:drawing>
                <wp:inline distT="0" distB="0" distL="0" distR="0">
                  <wp:extent cx="1428750" cy="1428750"/>
                  <wp:effectExtent l="19050" t="0" r="0" b="0"/>
                  <wp:docPr id="2" name="https://resourcehub.bakermckenzie.com/en/-/media/corporate-real-estate/images/graphics_csb54223_jvergara_gbdm_contactus_icon.png?h=150&amp;amp;w=150" descr="">
                    <a:hlinkClick xmlns:a="http://schemas.openxmlformats.org/drawingml/2006/main" r:id="Rb3126ed4c36440a2" tooltip="CONTACT 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resourcehub.bakermckenzie.com/en/-/media/corporate-real-estate/images/graphics_csb54223_jvergara_gbdm_contactus_icon.png?h=150&amp;amp;w=150" descr="CONTACT US"/>
                          <pic:cNvPicPr>
                            <a:picLocks noChangeAspect="1" noChangeArrowheads="1"/>
                          </pic:cNvPicPr>
                        </pic:nvPicPr>
                        <pic:blipFill>
                          <a:blip r:embed="R63df6e71bfc94da0"/>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hyperlink w:history="true" r:id="R371da941699241f6">
            <w:r>
              <w:drawing>
                <wp:inline distT="0" distB="0" distL="0" distR="0">
                  <wp:extent cx="1428750" cy="1428750"/>
                  <wp:effectExtent l="19050" t="0" r="0" b="0"/>
                  <wp:docPr id="3" name="https://resourcehub.bakermckenzie.com/en/-/media/corporate-real-estate/images/graphics_csb54223_jvergara_gbdm_listofauthors_icon.png?h=150&amp;amp;w=150" descr="">
                    <a:hlinkClick xmlns:a="http://schemas.openxmlformats.org/drawingml/2006/main" r:id="R371da941699241f6" tooltip="AUTHOR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resourcehub.bakermckenzie.com/en/-/media/corporate-real-estate/images/graphics_csb54223_jvergara_gbdm_listofauthors_icon.png?h=150&amp;amp;w=150" descr="AUTHORS"/>
                          <pic:cNvPicPr>
                            <a:picLocks noChangeAspect="1" noChangeArrowheads="1"/>
                          </pic:cNvPicPr>
                        </pic:nvPicPr>
                        <pic:blipFill>
                          <a:blip r:embed="Re1f6b92f4b4545d1"/>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hyperlink w:history="true" r:id="Ra4c242a216674038">
            <w:r>
              <w:drawing>
                <wp:inline distT="0" distB="0" distL="0" distR="0">
                  <wp:extent cx="1428750" cy="1428750"/>
                  <wp:effectExtent l="19050" t="0" r="0" b="0"/>
                  <wp:docPr id="4" name="https://resourcehub.bakermckenzie.com/en/-/media/corporate-real-estate/images/graphics_csb54223_jvergara_gbdm_pdf_icon.png?h=150&amp;amp;w=150" descr="">
                    <a:hlinkClick xmlns:a="http://schemas.openxmlformats.org/drawingml/2006/main" r:id="Ra4c242a216674038" tooltip="IC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resourcehub.bakermckenzie.com/en/-/media/corporate-real-estate/images/graphics_csb54223_jvergara_gbdm_pdf_icon.png?h=150&amp;amp;w=150" descr="ICON"/>
                          <pic:cNvPicPr>
                            <a:picLocks noChangeAspect="1" noChangeArrowheads="1"/>
                          </pic:cNvPicPr>
                        </pic:nvPicPr>
                        <pic:blipFill>
                          <a:blip r:embed="R90057ffc932a4cb2"/>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hyperlink w:history="true" r:id="R91f8264e160e4e51">
            <w:r>
              <w:drawing>
                <wp:inline distT="0" distB="0" distL="0" distR="0">
                  <wp:extent cx="1428750" cy="1428750"/>
                  <wp:effectExtent l="19050" t="0" r="0" b="0"/>
                  <wp:docPr id="5" name="https://resourcehub.bakermckenzie.com/en/-/media/corporate-real-estate/images/buttonartboard-4100.jpg?h=150&amp;amp;w=150" descr="">
                    <a:hlinkClick xmlns:a="http://schemas.openxmlformats.org/drawingml/2006/main" r:id="R91f8264e160e4e51" tooltip="Insight Plu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resourcehub.bakermckenzie.com/en/-/media/corporate-real-estate/images/buttonartboard-4100.jpg?h=150&amp;amp;w=150" descr="Insight Plus"/>
                          <pic:cNvPicPr>
                            <a:picLocks noChangeAspect="1" noChangeArrowheads="1"/>
                          </pic:cNvPicPr>
                        </pic:nvPicPr>
                        <pic:blipFill>
                          <a:blip r:embed="Rd73719b5213a439e"/>
                          <a:srcRect/>
                          <a:stretch>
                            <a:fillRect/>
                          </a:stretch>
                        </pic:blipFill>
                        <pic:spPr bwMode="auto">
                          <a:xfrm>
                            <a:off x="0" y="0"/>
                            <a:ext cx="1428750" cy="1428750"/>
                          </a:xfrm>
                          <a:prstGeom prst="rect">
                            <a:avLst/>
                          </a:prstGeom>
                        </pic:spPr>
                      </pic:pic>
                    </a:graphicData>
                  </a:graphic>
                </wp:inline>
              </w:drawing>
            </w:r>
          </w:hyperlink>
        </w:p>
        <w:p>
          <w:pPr>
            <w:pStyle w:val="BodyText"/>
          </w:pPr>
          <w:pPr>
            <w:jc w:val="center"/>
          </w:pPr>
          <w:r>
            <w:t xml:space="preserve">  </w:t>
          </w:r>
          <w:hyperlink w:history="true" r:id="R900b7c2d68d24eb6">
            <w:r>
              <w:drawing>
                <wp:inline distT="0" distB="0" distL="0" distR="0">
                  <wp:extent cx="2857500" cy="333375"/>
                  <wp:effectExtent l="19050" t="0" r="0" b="0"/>
                  <wp:docPr id="6" name="https://resourcehub.bakermckenzie.com/en/-/media/corporate-real-estate/images/graphicscsb54223jvergaragbdmclickhereforwebsite.png?h=35&amp;amp;w=300" descr="">
                    <a:hlinkClick xmlns:a="http://schemas.openxmlformats.org/drawingml/2006/main" r:id="R900b7c2d68d24eb6" tooltip="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resourcehub.bakermckenzie.com/en/-/media/corporate-real-estate/images/graphicscsb54223jvergaragbdmclickhereforwebsite.png?h=35&amp;amp;w=300" descr="WEBSITE"/>
                          <pic:cNvPicPr>
                            <a:picLocks noChangeAspect="1" noChangeArrowheads="1"/>
                          </pic:cNvPicPr>
                        </pic:nvPicPr>
                        <pic:blipFill>
                          <a:blip r:embed="R3ca69f41d8f34842"/>
                          <a:srcRect/>
                          <a:stretch>
                            <a:fillRect/>
                          </a:stretch>
                        </pic:blipFill>
                        <pic:spPr bwMode="auto">
                          <a:xfrm>
                            <a:off x="0" y="0"/>
                            <a:ext cx="2857500" cy="333375"/>
                          </a:xfrm>
                          <a:prstGeom prst="rect">
                            <a:avLst/>
                          </a:prstGeom>
                        </pic:spPr>
                      </pic:pic>
                    </a:graphicData>
                  </a:graphic>
                </wp:inline>
              </w:drawing>
            </w:r>
          </w:hyperlink>
        </w:p>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E2036B" w:rsidP="00896739" w:rsidRDefault="00E2036B" w14:paraId="42DBF3BA" w14:textId="77777777">
      <w:pPr>
        <w:pStyle w:val="IndentedCopy"/>
        <w:spacing w:line="276" w:lineRule="auto"/>
        <w:ind w:left="0"/>
      </w:pPr>
    </w:p>
    <w:sectPr w:rsidR="00E2036B"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CB2" w:rsidP="008407E2" w:rsidRDefault="008B2CB2" w14:paraId="6FEA254A" w14:textId="77777777">
      <w:pPr>
        <w:spacing w:after="0" w:line="240" w:lineRule="auto"/>
      </w:pPr>
      <w:r>
        <w:separator/>
      </w:r>
    </w:p>
  </w:endnote>
  <w:endnote w:type="continuationSeparator" w:id="0">
    <w:p w:rsidR="008B2CB2" w:rsidP="008407E2" w:rsidRDefault="008B2CB2" w14:paraId="5BD8B78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16B33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B10B36" w:rsidRDefault="008016C9" w14:paraId="1AC669BB" w14:textId="0968906B">
    <w:pPr>
      <w:pStyle w:val="Footertext"/>
      <w:spacing w:after="120"/>
    </w:pPr>
    <w:r>
      <w:t>www.</w:t>
    </w:r>
    <w:r w:rsidR="00507F6E">
      <w:t>bakermckenzie.com</w:t>
    </w:r>
    <w:sdt>
      <w:sdtPr>
        <w:id w:val="1753236663"/>
        <w:docPartObj>
          <w:docPartGallery w:val="Page Numbers (Bottom of Page)"/>
          <w:docPartUnique/>
        </w:docPartObj>
      </w:sdtPr>
      <w:sdtEndPr/>
      <w:sdtContent/>
    </w:sdt>
    <w:r w:rsidR="001E6FBB">
      <w:tab/>
      <w:t xml:space="preserve">Copyright </w:t>
    </w:r>
    <w:r w:rsidR="001E6FBB">
      <w:fldChar w:fldCharType="begin"/>
    </w:r>
    <w:r w:rsidR="001E6FBB">
      <w:instrText xml:space="preserve"> DATE  \@ "yyyy"  \* MERGEFORMAT </w:instrText>
    </w:r>
    <w:r w:rsidR="001E6FBB">
      <w:fldChar w:fldCharType="separate"/>
    </w:r>
    <w:r w:rsidR="000A4361">
      <w:rPr>
        <w:noProof/>
      </w:rPr>
      <w:t>2021</w:t>
    </w:r>
    <w:r w:rsidR="001E6FBB">
      <w:fldChar w:fldCharType="end"/>
    </w:r>
    <w:r w:rsidR="001E6FBB">
      <w:tab/>
    </w:r>
    <w:r w:rsidR="001E6FBB">
      <w:fldChar w:fldCharType="begin"/>
    </w:r>
    <w:r w:rsidR="001E6FBB">
      <w:instrText xml:space="preserve"> PAGE  \* Arabic  \* MERGEFORMAT </w:instrText>
    </w:r>
    <w:r w:rsidR="001E6FBB">
      <w:fldChar w:fldCharType="separate"/>
    </w:r>
    <w:r w:rsidR="001E6FBB">
      <w:rPr>
        <w:noProof/>
      </w:rPr>
      <w:t>2</w:t>
    </w:r>
    <w:r w:rsidR="001E6F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616C" w:rsidP="00FB54FC" w:rsidRDefault="00422BE8" w14:paraId="318D787C" w14:textId="43A4ACC3">
    <w:pPr>
      <w:pStyle w:val="Footertext"/>
      <w:spacing w:after="120"/>
    </w:pPr>
    <w:r w:rsidRPr="00422BE8">
      <w:t>https://resourcehub.bakermckenzie.com/en/resources/global-legal-guide-for-luxury--fashion-companies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CB2" w:rsidP="008407E2" w:rsidRDefault="008B2CB2" w14:paraId="754A89C5" w14:textId="77777777">
      <w:pPr>
        <w:spacing w:after="0" w:line="240" w:lineRule="auto"/>
      </w:pPr>
      <w:r>
        <w:separator/>
      </w:r>
    </w:p>
  </w:footnote>
  <w:footnote w:type="continuationSeparator" w:id="0">
    <w:p w:rsidR="008B2CB2" w:rsidP="008407E2" w:rsidRDefault="008B2CB2" w14:paraId="1B95A0E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0811" w:rsidRDefault="00B80811" w14:paraId="30770147"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656E75E0">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B641CD" w:rsidRDefault="00B641CD" w14:paraId="60E40330" w14:textId="5E7575A5">
    <w:pPr>
      <w:pStyle w:val="Header"/>
      <w:spacing w:after="600"/>
    </w:pPr>
    <w:r>
      <w:rPr>
        <w:noProof/>
      </w:rPr>
      <w:drawing>
        <wp:inline distT="0" distB="0" distL="0" distR="0" wp14:anchorId="5B2F2B42" wp14:editId="146D893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E2D0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22C4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5EA0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FE7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A60A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CC2D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5E92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AADD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6C65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50A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7CD"/>
    <w:multiLevelType w:val="hybridMultilevel"/>
    <w:tmpl w:val="2D7E9C06"/>
    <w:lvl w:ilvl="0" w:tplc="6146226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D82F34"/>
    <w:multiLevelType w:val="hybridMultilevel"/>
    <w:tmpl w:val="993E4862"/>
    <w:lvl w:ilvl="0" w:tplc="C51C6E7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A7D0A"/>
    <w:multiLevelType w:val="multilevel"/>
    <w:tmpl w:val="1124EE02"/>
    <w:numStyleLink w:val="1aiA"/>
  </w:abstractNum>
  <w:abstractNum w:abstractNumId="13"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4C34DA"/>
    <w:multiLevelType w:val="hybridMultilevel"/>
    <w:tmpl w:val="E536E77A"/>
    <w:lvl w:ilvl="0" w:tplc="28E67952">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5" w15:restartNumberingAfterBreak="0">
    <w:nsid w:val="6A187578"/>
    <w:multiLevelType w:val="hybridMultilevel"/>
    <w:tmpl w:val="4BF2E3EC"/>
    <w:lvl w:ilvl="0" w:tplc="727A45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80D1C"/>
    <w:multiLevelType w:val="hybridMultilevel"/>
    <w:tmpl w:val="F14EC786"/>
    <w:lvl w:ilvl="0" w:tplc="939A22C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37C54"/>
    <w:multiLevelType w:val="hybridMultilevel"/>
    <w:tmpl w:val="51ACB4C8"/>
    <w:lvl w:ilvl="0" w:tplc="CEB45F4C">
      <w:numFmt w:val="bullet"/>
      <w:lvlText w:val="-"/>
      <w:lvlJc w:val="left"/>
      <w:pPr>
        <w:ind w:left="1512" w:hanging="360"/>
      </w:pPr>
      <w:rPr>
        <w:rFonts w:ascii="Arial" w:eastAsiaTheme="minorHAnsi" w:hAnsi="Arial" w:cs="Aria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15"/>
  </w:num>
  <w:num w:numId="2">
    <w:abstractNumId w:val="16"/>
  </w:num>
  <w:num w:numId="3">
    <w:abstractNumId w:val="10"/>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322"/>
    <w:rsid w:val="00025B2B"/>
    <w:rsid w:val="00035AF7"/>
    <w:rsid w:val="000634B9"/>
    <w:rsid w:val="00077F75"/>
    <w:rsid w:val="0008479E"/>
    <w:rsid w:val="00093245"/>
    <w:rsid w:val="000A4361"/>
    <w:rsid w:val="000B778F"/>
    <w:rsid w:val="000C2EDD"/>
    <w:rsid w:val="000E0732"/>
    <w:rsid w:val="00161B4A"/>
    <w:rsid w:val="001802A0"/>
    <w:rsid w:val="00197B2F"/>
    <w:rsid w:val="001A2D30"/>
    <w:rsid w:val="001D13A1"/>
    <w:rsid w:val="001E6FBB"/>
    <w:rsid w:val="001F6551"/>
    <w:rsid w:val="00237F85"/>
    <w:rsid w:val="00284035"/>
    <w:rsid w:val="002A08A4"/>
    <w:rsid w:val="002A465B"/>
    <w:rsid w:val="002C6D29"/>
    <w:rsid w:val="002D177D"/>
    <w:rsid w:val="002E5521"/>
    <w:rsid w:val="0030141F"/>
    <w:rsid w:val="00313CC9"/>
    <w:rsid w:val="0035406A"/>
    <w:rsid w:val="003749B6"/>
    <w:rsid w:val="003A0E6D"/>
    <w:rsid w:val="003A3B65"/>
    <w:rsid w:val="003F41D1"/>
    <w:rsid w:val="00405CB3"/>
    <w:rsid w:val="00421ABE"/>
    <w:rsid w:val="00422BE7"/>
    <w:rsid w:val="00422BE8"/>
    <w:rsid w:val="004340A6"/>
    <w:rsid w:val="00471952"/>
    <w:rsid w:val="00485DE4"/>
    <w:rsid w:val="00490F49"/>
    <w:rsid w:val="004A33CE"/>
    <w:rsid w:val="004B616C"/>
    <w:rsid w:val="004C40D5"/>
    <w:rsid w:val="004E2B13"/>
    <w:rsid w:val="00507F6E"/>
    <w:rsid w:val="00556FAB"/>
    <w:rsid w:val="005633FE"/>
    <w:rsid w:val="00574B1A"/>
    <w:rsid w:val="005A12EF"/>
    <w:rsid w:val="005C2C83"/>
    <w:rsid w:val="005E300E"/>
    <w:rsid w:val="006158EB"/>
    <w:rsid w:val="00636700"/>
    <w:rsid w:val="0066374E"/>
    <w:rsid w:val="00670DE9"/>
    <w:rsid w:val="00682D60"/>
    <w:rsid w:val="006906AD"/>
    <w:rsid w:val="006B20FF"/>
    <w:rsid w:val="006C4214"/>
    <w:rsid w:val="006C53B8"/>
    <w:rsid w:val="006E4DBD"/>
    <w:rsid w:val="006F4E12"/>
    <w:rsid w:val="00704DE8"/>
    <w:rsid w:val="00725109"/>
    <w:rsid w:val="0073160D"/>
    <w:rsid w:val="007336B4"/>
    <w:rsid w:val="007541FC"/>
    <w:rsid w:val="00755240"/>
    <w:rsid w:val="00761F2A"/>
    <w:rsid w:val="00764CD4"/>
    <w:rsid w:val="00773EA0"/>
    <w:rsid w:val="0079515F"/>
    <w:rsid w:val="007B5830"/>
    <w:rsid w:val="007F060E"/>
    <w:rsid w:val="008016C9"/>
    <w:rsid w:val="008020A8"/>
    <w:rsid w:val="008407E2"/>
    <w:rsid w:val="008816BB"/>
    <w:rsid w:val="00896739"/>
    <w:rsid w:val="008B2CB2"/>
    <w:rsid w:val="008B4BE2"/>
    <w:rsid w:val="008D1980"/>
    <w:rsid w:val="008E0D40"/>
    <w:rsid w:val="008E0D74"/>
    <w:rsid w:val="0093444D"/>
    <w:rsid w:val="0094721F"/>
    <w:rsid w:val="0097103A"/>
    <w:rsid w:val="0098047C"/>
    <w:rsid w:val="00994FC4"/>
    <w:rsid w:val="009B5183"/>
    <w:rsid w:val="009D1541"/>
    <w:rsid w:val="009E50EE"/>
    <w:rsid w:val="00A04E0F"/>
    <w:rsid w:val="00A14B44"/>
    <w:rsid w:val="00A17914"/>
    <w:rsid w:val="00A2157A"/>
    <w:rsid w:val="00A3660C"/>
    <w:rsid w:val="00A4620B"/>
    <w:rsid w:val="00A5071B"/>
    <w:rsid w:val="00A53B7A"/>
    <w:rsid w:val="00A7348F"/>
    <w:rsid w:val="00A768A2"/>
    <w:rsid w:val="00A966E5"/>
    <w:rsid w:val="00AC1559"/>
    <w:rsid w:val="00AD1164"/>
    <w:rsid w:val="00B10B36"/>
    <w:rsid w:val="00B641CD"/>
    <w:rsid w:val="00B665B5"/>
    <w:rsid w:val="00B750A4"/>
    <w:rsid w:val="00B80811"/>
    <w:rsid w:val="00B832FC"/>
    <w:rsid w:val="00BA085E"/>
    <w:rsid w:val="00BC7873"/>
    <w:rsid w:val="00BD03CF"/>
    <w:rsid w:val="00BF0A32"/>
    <w:rsid w:val="00C303AC"/>
    <w:rsid w:val="00C45D4B"/>
    <w:rsid w:val="00C637FE"/>
    <w:rsid w:val="00C86C26"/>
    <w:rsid w:val="00C93D03"/>
    <w:rsid w:val="00CB14D1"/>
    <w:rsid w:val="00CC447A"/>
    <w:rsid w:val="00CD11B4"/>
    <w:rsid w:val="00CE6CE2"/>
    <w:rsid w:val="00D05710"/>
    <w:rsid w:val="00D219D6"/>
    <w:rsid w:val="00D31F26"/>
    <w:rsid w:val="00D3657B"/>
    <w:rsid w:val="00D41754"/>
    <w:rsid w:val="00D43357"/>
    <w:rsid w:val="00D9752D"/>
    <w:rsid w:val="00DA1306"/>
    <w:rsid w:val="00DD4DE7"/>
    <w:rsid w:val="00DF569D"/>
    <w:rsid w:val="00E00030"/>
    <w:rsid w:val="00E02C92"/>
    <w:rsid w:val="00E2036B"/>
    <w:rsid w:val="00E442D0"/>
    <w:rsid w:val="00E57C25"/>
    <w:rsid w:val="00E8516D"/>
    <w:rsid w:val="00E925A7"/>
    <w:rsid w:val="00E96398"/>
    <w:rsid w:val="00EB04B9"/>
    <w:rsid w:val="00EB4E6C"/>
    <w:rsid w:val="00ED197F"/>
    <w:rsid w:val="00F243E0"/>
    <w:rsid w:val="00F90D69"/>
    <w:rsid w:val="00FA787A"/>
    <w:rsid w:val="00FB54FC"/>
    <w:rsid w:val="00FC6796"/>
    <w:rsid w:val="00FE2888"/>
    <w:rsid w:val="00FE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B750A4"/>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FE2D8A"/>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FE2D8A"/>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FE2D8A"/>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750A4"/>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B750A4"/>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8D1980"/>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E0732"/>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FE2D8A"/>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B750A4"/>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FE2D8A"/>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Heading2Char" w:customStyle="1">
    <w:name w:val="Heading 2 Char"/>
    <w:basedOn w:val="DefaultParagraphFont"/>
    <w:link w:val="Heading2"/>
    <w:uiPriority w:val="9"/>
    <w:rsid w:val="00B750A4"/>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B750A4"/>
    <w:rPr>
      <w:rFonts w:ascii="Arial" w:hAnsi="Arial" w:cs="Arial" w:eastAsiaTheme="majorEastAsia"/>
      <w:color w:val="000000" w:themeColor="text1"/>
      <w:sz w:val="24"/>
      <w:szCs w:val="24"/>
    </w:rPr>
  </w:style>
  <w:style w:type="paragraph" w:styleId="Title">
    <w:name w:val="Title"/>
    <w:basedOn w:val="Normal"/>
    <w:next w:val="Normal"/>
    <w:link w:val="TitleChar"/>
    <w:autoRedefine/>
    <w:uiPriority w:val="10"/>
    <w:unhideWhenUsed/>
    <w:qFormat/>
    <w:rsid w:val="00FE2D8A"/>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B750A4"/>
    <w:rPr>
      <w:rFonts w:ascii="Arial Bold" w:hAnsi="Arial Bold" w:eastAsiaTheme="majorEastAsia" w:cstheme="majorBidi"/>
      <w:b/>
      <w:kern w:val="28"/>
      <w:sz w:val="44"/>
      <w:szCs w:val="56"/>
    </w:rPr>
  </w:style>
  <w:style w:type="paragraph" w:styleId="Subtitle">
    <w:name w:val="Subtitle"/>
    <w:basedOn w:val="Heading1"/>
    <w:next w:val="Normal"/>
    <w:link w:val="SubtitleChar"/>
    <w:uiPriority w:val="11"/>
    <w:unhideWhenUsed/>
    <w:qFormat/>
    <w:rsid w:val="00A2157A"/>
    <w:pPr>
      <w:numPr>
        <w:ilvl w:val="1"/>
      </w:numPr>
      <w:spacing w:before="2400" w:after="480"/>
    </w:pPr>
    <w:rPr>
      <w:rFonts w:eastAsiaTheme="minorEastAsia"/>
      <w:b w:val="0"/>
      <w:color w:val="000000" w:themeColor="text1"/>
      <w:sz w:val="44"/>
    </w:rPr>
  </w:style>
  <w:style w:type="character" w:styleId="SubtitleChar" w:customStyle="1">
    <w:name w:val="Subtitle Char"/>
    <w:basedOn w:val="DefaultParagraphFont"/>
    <w:link w:val="Subtitle"/>
    <w:uiPriority w:val="11"/>
    <w:rsid w:val="00A2157A"/>
    <w:rPr>
      <w:rFonts w:ascii="Arial" w:hAnsi="Arial" w:cs="Arial" w:eastAsiaTheme="minorEastAsia"/>
      <w:color w:val="000000" w:themeColor="text1"/>
      <w:sz w:val="44"/>
      <w:szCs w:val="32"/>
    </w:rPr>
  </w:style>
  <w:style w:type="paragraph" w:styleId="BodyText">
    <w:name w:val="Body Text"/>
    <w:basedOn w:val="Normal"/>
    <w:link w:val="BodyTextChar"/>
    <w:uiPriority w:val="99"/>
    <w:unhideWhenUsed/>
    <w:rsid w:val="00FE2D8A"/>
    <w:pPr>
      <w:spacing w:line="360" w:lineRule="auto"/>
    </w:pPr>
  </w:style>
  <w:style w:type="character" w:styleId="BodyTextChar" w:customStyle="1">
    <w:name w:val="Body Text Char"/>
    <w:basedOn w:val="DefaultParagraphFont"/>
    <w:link w:val="BodyText"/>
    <w:uiPriority w:val="99"/>
    <w:rsid w:val="00B750A4"/>
    <w:rPr>
      <w:rFonts w:ascii="Arial" w:hAnsi="Arial"/>
      <w:sz w:val="20"/>
    </w:rPr>
  </w:style>
  <w:style w:type="paragraph" w:styleId="Disclaimer" w:customStyle="1">
    <w:name w:val="Disclaimer"/>
    <w:basedOn w:val="BodyText"/>
    <w:qFormat/>
    <w:rsid w:val="000E0732"/>
    <w:rPr>
      <w:sz w:val="16"/>
    </w:rPr>
  </w:style>
  <w:style w:type="numbering" w:styleId="1aiA" w:customStyle="1">
    <w:name w:val="1. / (a) / (i) / (A)"/>
    <w:uiPriority w:val="99"/>
    <w:rsid w:val="00DA1306"/>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mailto:gre@bakermckenzie.com" TargetMode="External" Id="Rb3126ed4c36440a2" /><Relationship Type="http://schemas.openxmlformats.org/officeDocument/2006/relationships/image" Target="/media/image3.png" Id="R63df6e71bfc94da0" /><Relationship Type="http://schemas.openxmlformats.org/officeDocument/2006/relationships/hyperlink" Target="https://resourcehub.bakermckenzie.com/en/-/media/corporate-real-estate/files/llist-of-authorsbkgloballuxuryfashionhandbookjun15.pdf" TargetMode="External" Id="R371da941699241f6" /><Relationship Type="http://schemas.openxmlformats.org/officeDocument/2006/relationships/image" Target="/media/image4.png" Id="Re1f6b92f4b4545d1" /><Relationship Type="http://schemas.openxmlformats.org/officeDocument/2006/relationships/hyperlink" Target="http://www.bakermckenzie.com/luxuryandfashionguide/" TargetMode="External" Id="Ra4c242a216674038" /><Relationship Type="http://schemas.openxmlformats.org/officeDocument/2006/relationships/image" Target="/media/image5.png" Id="R90057ffc932a4cb2" /><Relationship Type="http://schemas.openxmlformats.org/officeDocument/2006/relationships/hyperlink" Target="https://insightplus.bakermckenzie.com/bm/real-estate_1" TargetMode="External" Id="R91f8264e160e4e51" /><Relationship Type="http://schemas.openxmlformats.org/officeDocument/2006/relationships/image" Target="/media/image.jpg" Id="Rd73719b5213a439e" /><Relationship Type="http://schemas.openxmlformats.org/officeDocument/2006/relationships/hyperlink" Target="https://www.bakermckenzie.com/en/insight/publications/2019/04/global-legal-guide-for-luxury-and-fashion" TargetMode="External" Id="R900b7c2d68d24eb6" /><Relationship Type="http://schemas.openxmlformats.org/officeDocument/2006/relationships/image" Target="/media/image6.png" Id="R3ca69f41d8f34842"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874855" w:rsidRDefault="00221808">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1008D278-3E65-46D3-892E-B56CE25806F8}"/>
      </w:docPartPr>
      <w:docPartBody>
        <w:p w:rsidR="00874855" w:rsidRDefault="00221808">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E9C6504D96B0448F953762ABA604ABB6"/>
        <w:category>
          <w:name w:val="General"/>
          <w:gallery w:val="placeholder"/>
        </w:category>
        <w:types>
          <w:type w:val="bbPlcHdr"/>
        </w:types>
        <w:behaviors>
          <w:behavior w:val="content"/>
        </w:behaviors>
        <w:guid w:val="{EC8526DD-8AEB-43AC-837C-B463101D4AF6}"/>
      </w:docPartPr>
      <w:docPartBody>
        <w:p w:rsidR="00874855" w:rsidRDefault="00221808" w:rsidP="00221808">
          <w:pPr>
            <w:pStyle w:val="E9C6504D96B0448F953762ABA604ABB6"/>
          </w:pPr>
          <w:r w:rsidRPr="00776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417F3"/>
    <w:rsid w:val="00050A91"/>
    <w:rsid w:val="00221808"/>
    <w:rsid w:val="00265FBE"/>
    <w:rsid w:val="00304C11"/>
    <w:rsid w:val="003A1E4F"/>
    <w:rsid w:val="003A6DDE"/>
    <w:rsid w:val="0048437B"/>
    <w:rsid w:val="0048609F"/>
    <w:rsid w:val="004A4AF6"/>
    <w:rsid w:val="00567F5B"/>
    <w:rsid w:val="005A7F48"/>
    <w:rsid w:val="00730880"/>
    <w:rsid w:val="00741C2A"/>
    <w:rsid w:val="00752C5E"/>
    <w:rsid w:val="00856F2F"/>
    <w:rsid w:val="008606D1"/>
    <w:rsid w:val="0086372F"/>
    <w:rsid w:val="00874855"/>
    <w:rsid w:val="00AA0C1F"/>
    <w:rsid w:val="00AB64A1"/>
    <w:rsid w:val="00AF69BF"/>
    <w:rsid w:val="00B94864"/>
    <w:rsid w:val="00BA0C02"/>
    <w:rsid w:val="00BC067E"/>
    <w:rsid w:val="00BE3EB0"/>
    <w:rsid w:val="00D8752A"/>
    <w:rsid w:val="00DB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855"/>
    <w:rPr>
      <w:color w:val="808080"/>
    </w:rPr>
  </w:style>
  <w:style w:type="paragraph" w:customStyle="1" w:styleId="E9C6504D96B0448F953762ABA604ABB6">
    <w:name w:val="E9C6504D96B0448F953762ABA604ABB6"/>
    <w:rsid w:val="00221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71</cp:revision>
  <dcterms:created xsi:type="dcterms:W3CDTF">2020-06-08T16:30:00Z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