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Data and Cyber Handbook Lite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10474" cy="2333625"/>
                <wp:effectExtent l="19050" t="0" r="0" b="0"/>
                <wp:docPr id="2" name="https://resourcehub.bakermckenzie.com/en/-/media/global-data-and-cyber-handbook/images/data_privacy-handbook_banner.jpg?h=245&amp;amp;w=799&amp;amp;sc_lang=en&amp;amp;rev=0afdbcc5519f4312bef9079dadda86f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and-cyber-handbook/images/data_privacy-handbook_banner.jpg?h=245&amp;amp;w=799&amp;amp;sc_lang=en&amp;amp;rev=0afdbcc5519f4312bef9079dadda86f4" descr="Data_Cyber"/>
                        <pic:cNvPicPr>
                          <a:picLocks noChangeAspect="1" noChangeArrowheads="1"/>
                        </pic:cNvPicPr>
                      </pic:nvPicPr>
                      <pic:blipFill>
                        <a:blip r:embed="Red60d26a0b0b4502"/>
                        <a:srcRect/>
                        <a:stretch>
                          <a:fillRect/>
                        </a:stretch>
                      </pic:blipFill>
                      <pic:spPr bwMode="auto">
                        <a:xfrm>
                          <a:off x="0" y="0"/>
                          <a:ext cx="7610474" cy="2333625"/>
                        </a:xfrm>
                        <a:prstGeom prst="rect">
                          <a:avLst/>
                        </a:prstGeom>
                      </pic:spPr>
                    </pic:pic>
                  </a:graphicData>
                </a:graphic>
              </wp:inline>
            </w:drawing>
          </w:r>
        </w:p>
        <w:p>
          <w:pPr>
            <w:pStyle w:val="BodyText"/>
          </w:pPr>
          <w:pPr>
            <w:pStyle w:val="Heading5"/>
          </w:pPr>
          <w:r>
            <w:t xml:space="preserve">The Data &amp; Cyber Frontier: Seizing opportunities and managing risks</w:t>
          </w:r>
        </w:p>
        <w:p>
          <w:pPr>
            <w:pStyle w:val="BodyText"/>
          </w:pPr>
          <w:r>
            <w:t xml:space="preserve">Data is a critical asset in today's globally connected economy, where rapidly developing technologies, including AI, have made it easier than ever for companies to collect, use, and transfer information worldwide. At the same time, cybercriminals, nation state actors, and insider threats are introducing unprecedented risks to the security of company data. On top of these developments, regulators are busy at work developing and adopting new and "innovative" data protection, privacy, and cybersecurity regulations that create a complex and often inconsistent regulatory environment for businesses to navigate.</w:t>
          </w:r>
        </w:p>
        <w:p>
          <w:pPr>
            <w:pStyle w:val="BodyText"/>
          </w:pPr>
          <w:r>
            <w:t xml:space="preserve">Our </w:t>
          </w:r>
          <w:r>
            <w:rPr>
              <w:b/>
            </w:rPr>
            <w:t xml:space="preserve">Global Data &amp; Cyber Handbook</w:t>
          </w:r>
          <w:r>
            <w:t xml:space="preserve"> is updated annually to help you stay up to date with the dynamic legal landscape. We provide detailed overviews and offer a comparative perspective on the increasingly complex and sophisticated data and cyber standards in over 50 jurisdictions.</w:t>
          </w:r>
        </w:p>
        <w:p>
          <w:pPr>
            <w:pStyle w:val="BodyText"/>
          </w:pPr>
          <w:r>
            <w:t xml:space="preserve">We can help companies navigate the myriad of challenging data protection, privacy, and cybersecurity laws, regulations, and guidance in all regions globally, with our team of experts ready to assist wherever you need us.</w:t>
          </w:r>
        </w:p>
        <w:p>
          <w:pPr>
            <w:pStyle w:val="BodyText"/>
          </w:pPr>
          <w:r>
            <w:t xml:space="preserve">Select a jurisdiction of interest from the dropdown menu at the top left of this page or use the "Start comparison" option at the top right for a comparative view.</w:t>
          </w:r>
        </w:p>
        <w:p>
          <w:pPr>
            <w:pStyle w:val="BodyText"/>
          </w:pPr>
          <w:pPr>
            <w:pStyle w:val="Heading6"/>
          </w:pPr>
          <w:r>
            <w:rPr>
              <w:b/>
            </w:rPr>
            <w:t xml:space="preserve">Global Data &amp; Cyber Handbook – Full version</w:t>
          </w:r>
        </w:p>
        <w:p>
          <w:pPr>
            <w:pStyle w:val="BodyText"/>
          </w:pPr>
          <w:r>
            <w:t xml:space="preserve">You can also access the full version of the Handbook, which offers expanded overviews and comparative insights into the increasingly complex data privacy and cybersecurity standards across more than 50 jurisdictions. Our handbook examines key data and cyber regulatory developments impacting AI, the regulation of non‑personal data and company data, regulatory approaches and enforcement, available remedies and penalties, and restrictions on cross-border data transfers.</w:t>
          </w:r>
        </w:p>
        <w:p>
          <w:pPr>
            <w:pStyle w:val="BodyText"/>
          </w:pPr>
          <w:r>
            <w:t xml:space="preserve">If you are a Baker McKenzie employee, please click </w:t>
          </w:r>
          <w:hyperlink w:history="true" r:id="Rec6fe9a3bfa04940">
            <w:r>
              <w:rPr>
                <w:rStyle w:val="Hyperlink"/>
              </w:rPr>
              <w:t xml:space="preserve">here</w:t>
            </w:r>
          </w:hyperlink>
          <w:r>
            <w:t xml:space="preserve"> to access the full version.</w:t>
          </w:r>
        </w:p>
        <w:p>
          <w:pPr>
            <w:pStyle w:val="BodyText"/>
          </w:pPr>
          <w:r>
            <w:t xml:space="preserve">If you are a client, please click </w:t>
          </w:r>
          <w:hyperlink w:history="true" r:id="Rc1a68e220fa5495f">
            <w:r>
              <w:rPr>
                <w:rStyle w:val="Hyperlink"/>
              </w:rPr>
              <w:t xml:space="preserve">here</w:t>
            </w:r>
          </w:hyperlink>
          <w:r>
            <w:t xml:space="preserve"> to request access. You will be prompted to provide your details, and access will be granted shortly afterwards.</w:t>
          </w:r>
        </w:p>
        <w:p>
          <w:pPr>
            <w:pStyle w:val="BodyText"/>
          </w:pPr>
          <w:r>
            <w:t xml:space="preserve"> </w:t>
          </w:r>
        </w:p>
        <w:p>
          <w:pPr>
            <w:pStyle w:val="BodyText"/>
          </w:pPr>
          <w:pPr>
            <w:pStyle w:val="Heading6"/>
          </w:pPr>
          <w:r>
            <w:rPr>
              <w:color w:val="C00000"/>
            </w:rPr>
            <w:t xml:space="preserve">Global Data &amp; Cyber Subgroup Leadership Team</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color w:val="C00000"/>
            </w:rPr>
            <w:t xml:space="preserve">About our team</w:t>
          </w:r>
        </w:p>
        <w:p>
          <w:pPr>
            <w:pStyle w:val="BodyText"/>
          </w:pPr>
          <w:r>
            <w:t xml:space="preserve">Baker McKenzie's data and cyber team works with our clients to establish a robust framework that allows you to meet your business objectives and grow securely – in any of your target markets. Our practitioners have a distinctive global way of thinking and come together to seamlessly advise across borders, issues, and practice specialisms. We draw from our experience advising multinationals across sectors and invest the time to understand your business inside out, ensuring you're provided with practical advice tailored to your commercial aims.</w:t>
          </w:r>
        </w:p>
        <w:p>
          <w:pPr>
            <w:pStyle w:val="BodyText"/>
          </w:pPr>
          <w:r>
            <w:t xml:space="preserve">To learn more, visit: </w:t>
          </w:r>
          <w:hyperlink w:history="true" r:id="Ra499d8d5adcb48e8">
            <w:r>
              <w:rPr>
                <w:rStyle w:val="Hyperlink"/>
              </w:rPr>
              <w:t xml:space="preserve">www.bakermckenzie.com/en/expertise/practices/data-technology-privacy-cybersecurity</w:t>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bakerxchange.com/collect/click.aspx?u=dyswRXlqVXlFd1dibTVUMERaUDdZdUxCNk1pMko2VEswN2V0MGZzKzlleUg5bFpuOEJCMnZpQ1R4TlQ5b21TR0FRSW5uVDlXeno0aWNBSHc3YmMrblNmUXV4NktJSmJaeWtLNXU4b0kwMFpkVEorWW9wWDMyZEVUWE5iK2ZDUG9aSCs5THdpTUQxa1UxNnpSSVZSTkdkc01tbkVuMVB5Mg==&amp;amp;rh=ff00f40c92cdb837934c31a06b439e5f0ab3274f" TargetMode="External" Id="Ra499d8d5adcb48e8" /><Relationship Type="http://schemas.openxmlformats.org/officeDocument/2006/relationships/image" Target="/media/image.jpg" Id="Red60d26a0b0b4502" /><Relationship Type="http://schemas.openxmlformats.org/officeDocument/2006/relationships/hyperlink" Target="https://resourcehub.bakermckenzie.com/en/resources/global-data-and-cyber-handbook" TargetMode="External" Id="Rec6fe9a3bfa04940" /><Relationship Type="http://schemas.openxmlformats.org/officeDocument/2006/relationships/hyperlink" Target="https://resourcehub.bakermckenzie.com/en/users/request-access" TargetMode="External" Id="Rc1a68e220fa5495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