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Public M&amp;A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3"/>
          </w:pPr>
          <w:r>
            <w:rPr>
              <w:color w:val="C00000"/>
            </w:rPr>
            <w:t xml:space="preserve">Global Public M&amp;A Guide</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6477000" cy="1905000"/>
                <wp:effectExtent l="19050" t="0" r="0" b="0"/>
                <wp:docPr id="2" name="https://resourcehub.bakermckenzie.com/en/-/media/global-public-ma-handbook/images/2022/case1330535_imagery_kharen-delgado-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global-public-ma-handbook/images/2022/case1330535_imagery_kharen-delgado-1.jpg?sc_lang=en" descr="Banner"/>
                        <pic:cNvPicPr>
                          <a:picLocks noChangeAspect="1" noChangeArrowheads="1"/>
                        </pic:cNvPicPr>
                      </pic:nvPicPr>
                      <pic:blipFill>
                        <a:blip r:embed="Rd36330226ded4b05"/>
                        <a:srcRect/>
                        <a:stretch>
                          <a:fillRect/>
                        </a:stretch>
                      </pic:blipFill>
                      <pic:spPr bwMode="auto">
                        <a:xfrm>
                          <a:off x="0" y="0"/>
                          <a:ext cx="6477000" cy="1905000"/>
                        </a:xfrm>
                        <a:prstGeom prst="rect">
                          <a:avLst/>
                        </a:prstGeom>
                      </pic:spPr>
                    </pic:pic>
                  </a:graphicData>
                </a:graphic>
              </wp:inline>
            </w:drawing>
          </w:r>
        </w:p>
        <w:p>
          <w:pPr>
            <w:pStyle w:val="BodyText"/>
          </w:pPr>
          <w:r>
            <w:rPr>
              <w:i/>
              <w:sz w:val="18"/>
            </w:rPr>
            <w:t xml:space="preserve">The content's last review date is indicated on each page. All content is for informational purposes only and may not reflect the most current legal and regulatory developments. All summaries of the laws, regulations and practice are subject to change.</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d36330226ded4b05"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