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Public M&amp;A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Global Public M&amp;A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ublic-ma-handbook/images/2025/resources-hub--banner-800x300px.png?h=300&amp;amp;w=800&amp;amp;rev=416712b147dd4b9ea1a2e2a5c8b220a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ublic-ma-handbook/images/2025/resources-hub--banner-800x300px.png?h=300&amp;amp;w=800&amp;amp;rev=416712b147dd4b9ea1a2e2a5c8b220a9&amp;sc_lang=en" descr="New Banner"/>
                        <pic:cNvPicPr>
                          <a:picLocks noChangeAspect="1" noChangeArrowheads="1"/>
                        </pic:cNvPicPr>
                      </pic:nvPicPr>
                      <pic:blipFill>
                        <a:blip r:embed="R168df52189cf4a39"/>
                        <a:srcRect/>
                        <a:stretch>
                          <a:fillRect/>
                        </a:stretch>
                      </pic:blipFill>
                      <pic:spPr bwMode="auto">
                        <a:xfrm>
                          <a:off x="0" y="0"/>
                          <a:ext cx="7620000" cy="2857500"/>
                        </a:xfrm>
                        <a:prstGeom prst="rect">
                          <a:avLst/>
                        </a:prstGeom>
                      </pic:spPr>
                    </pic:pic>
                  </a:graphicData>
                </a:graphic>
              </wp:inline>
            </w:drawing>
          </w:r>
        </w:p>
        <w:p>
          <w:pPr>
            <w:pStyle w:val="BodyText"/>
          </w:pPr>
          <w:r>
            <w:rPr>
              <w:b/>
            </w:rPr>
            <w:t xml:space="preserve">Drawing on the expertise of practitioners from across 41 jurisdictions, with extensive experience of leading public deals across multiple borders and legal frameworks, Baker McKenzie is pleased to share with the fully updated 5th edition of its Global Public M&amp;A Guide. The comprehensive resource no M&amp;A professional should be without, the Guide simplifies the complexity that abounds in cross-border public M&amp;A transactions and helps maximize deal value.  </w:t>
          </w:r>
        </w:p>
        <w:p>
          <w:pPr>
            <w:pStyle w:val="BodyText"/>
          </w:pPr>
          <w:r>
            <w:t xml:space="preserve">Public M&amp;A transactions can ordinarily be complex and labyrinthine - becoming even more intricate as they begin to span multiple jurisdictions and legal regimes. At Baker McKenzie we are a transactional powerhouse with extensive experience of leading public deals across multiple borders and legal frameworks. We have the market knowledge, legal expertise and creativity needed to successfully execute complex and high profile transactions.</w:t>
          </w:r>
        </w:p>
        <w:p>
          <w:pPr>
            <w:pStyle w:val="BodyText"/>
          </w:pPr>
          <w:r>
            <w:t xml:space="preserve">While there are many factors to consider, we would like to share what we believe are a few of the key areas of focus for any companies contemplating a public M&amp;A deal. These issues usually appear in all transactions and can be considered across any jurisdiction, industry or deal.</w:t>
          </w:r>
        </w:p>
        <w:p>
          <w:pPr>
            <w:pStyle w:val="BodyText"/>
          </w:pPr>
          <w:pPr>
            <w:pStyle w:val="ListParagraph"/>
            <w:numPr>
              <w:ilvl w:val="0"/>
              <w:numId w:val="19"/>
            </w:numPr>
          </w:pPr>
          <w:r>
            <w:rPr>
              <w:b/>
            </w:rPr>
            <w:t xml:space="preserve">Don't take unnecessary chances</w:t>
          </w:r>
          <w:r>
            <w:t xml:space="preserve">. Public M&amp;A deals, particularly those with a cross-border element, are risky propositions. Maximize your chances for a timely and successful closing by adopting best practices in deal structuring and techniques.</w:t>
          </w:r>
        </w:p>
        <w:p>
          <w:pPr>
            <w:pStyle w:val="BodyText"/>
          </w:pPr>
          <w:pPr>
            <w:pStyle w:val="ListParagraph"/>
            <w:numPr>
              <w:ilvl w:val="0"/>
              <w:numId w:val="19"/>
            </w:numPr>
          </w:pPr>
          <w:r>
            <w:rPr>
              <w:b/>
            </w:rPr>
            <w:t xml:space="preserve">Understand local requirements</w:t>
          </w:r>
          <w:r>
            <w:t xml:space="preserve">. The local laws and regulations that apply to your counterparty in the deal must be taken into account. Our updated guide now also includes details of restrictions on foreign investments.</w:t>
          </w:r>
        </w:p>
        <w:p>
          <w:pPr>
            <w:pStyle w:val="BodyText"/>
          </w:pPr>
          <w:pPr>
            <w:pStyle w:val="ListParagraph"/>
            <w:numPr>
              <w:ilvl w:val="0"/>
              <w:numId w:val="19"/>
            </w:numPr>
          </w:pPr>
          <w:r>
            <w:rPr>
              <w:b/>
            </w:rPr>
            <w:t xml:space="preserve">Assemble a trusted team</w:t>
          </w:r>
          <w:r>
            <w:t xml:space="preserve">. You will likely need a full team of experienced experts in whom you have confidence, including lawyers, accountants and bankers. On the legal side, ensure you not only know the corporate team but also the lead partners responsible for tax, employment, antitrust/competition, compliance/sanctions and any other areas that are especially important to your company.</w:t>
          </w:r>
        </w:p>
        <w:p>
          <w:pPr>
            <w:pStyle w:val="BodyText"/>
          </w:pPr>
          <w:pPr>
            <w:pStyle w:val="ListParagraph"/>
            <w:numPr>
              <w:ilvl w:val="0"/>
              <w:numId w:val="19"/>
            </w:numPr>
          </w:pPr>
          <w:r>
            <w:rPr>
              <w:b/>
            </w:rPr>
            <w:t xml:space="preserve">Remember the end goal</w:t>
          </w:r>
          <w:r>
            <w:t xml:space="preserve">. The deal is typically not an end in itself but rather a means to achieve important business objectives. Thus, the deal does not really end at closing; instead, its true value comes from a smooth and efficient business integration. Working with your team of advisers, plan for this integration from Day One.</w:t>
          </w:r>
        </w:p>
        <w:p>
          <w:pPr>
            <w:pStyle w:val="BodyText"/>
          </w:pPr>
          <w:r>
            <w:t xml:space="preserve">The focus of the Guide is primarily on the practice of conducting a takeover of a publicly listed company with summaries of the general legal framework, takeover practices and tactics across jurisdictions and general considerations associated with a public M&amp;A transaction. Of course, all transactions will come with their own unique factors and requirements; but we believe our readers should find this a valuable resource for general education and reference.</w:t>
          </w:r>
        </w:p>
        <w:p>
          <w:pPr>
            <w:pStyle w:val="BodyText"/>
          </w:pPr>
          <w:r>
            <w:rPr>
              <w:b/>
            </w:rPr>
            <w:t xml:space="preserve">Using this tool</w:t>
          </w:r>
        </w:p>
        <w:p>
          <w:pPr>
            <w:pStyle w:val="BodyText"/>
          </w:pPr>
          <w:pPr>
            <w:spacing w:after="239"/>
          </w:pPr>
          <w:r>
            <w:t xml:space="preserve">To view topics please select a jurisdiction from the dropdown on the left. You can compare content using the</w:t>
          </w:r>
          <w:r>
            <w:rPr>
              <w:b/>
            </w:rPr>
            <w:t xml:space="preserve"> "Start Comparison" </w:t>
          </w:r>
          <w:r>
            <w:t xml:space="preserve">feature at the top of the page by simply selecting the topic/s of interest and the relevant jurisdictions. This will display a summary table of the topics per jurisdiction for easy comparison.</w:t>
          </w:r>
        </w:p>
        <w:p>
          <w:pPr>
            <w:pStyle w:val="BodyText"/>
          </w:pPr>
          <w:r>
            <w:t xml:space="preserve">For a pdf version of the Guide, please click on the image below.</w:t>
          </w:r>
        </w:p>
        <w:p>
          <w:pPr>
            <w:pStyle w:val="BodyText"/>
          </w:pPr>
          <w:hyperlink w:history="true" r:id="Rb13468efd5ab4be8">
            <w:r>
              <w:drawing>
                <wp:inline distT="0" distB="0" distL="0" distR="0">
                  <wp:extent cx="2857500" cy="2800350"/>
                  <wp:effectExtent l="19050" t="0" r="0" b="0"/>
                  <wp:docPr id="3" name="https://resourcehub.bakermckenzie.com/en/-/media/global-public-ma-handbook/images/2025/case4170582--global-public-ma-guide-thumbnail.png?h=294&amp;amp;w=300&amp;amp;rev=b3f724c13bab4fe48c34405526bc2ce1&amp;sc_lang=en" descr="">
                    <a:hlinkClick xmlns:a="http://schemas.openxmlformats.org/drawingml/2006/main" r:id="Rb13468efd5ab4be8" tooltip="Download t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public-ma-handbook/images/2025/case4170582--global-public-ma-guide-thumbnail.png?h=294&amp;amp;w=300&amp;amp;rev=b3f724c13bab4fe48c34405526bc2ce1&amp;sc_lang=en" descr="Download tile"/>
                          <pic:cNvPicPr>
                            <a:picLocks noChangeAspect="1" noChangeArrowheads="1"/>
                          </pic:cNvPicPr>
                        </pic:nvPicPr>
                        <pic:blipFill>
                          <a:blip r:embed="R2378886d8905411d"/>
                          <a:srcRect/>
                          <a:stretch>
                            <a:fillRect/>
                          </a:stretch>
                        </pic:blipFill>
                        <pic:spPr bwMode="auto">
                          <a:xfrm>
                            <a:off x="0" y="0"/>
                            <a:ext cx="2857500" cy="2800350"/>
                          </a:xfrm>
                          <a:prstGeom prst="rect">
                            <a:avLst/>
                          </a:prstGeom>
                        </pic:spPr>
                      </pic:pic>
                    </a:graphicData>
                  </a:graphic>
                </wp:inline>
              </w:drawing>
            </w:r>
          </w:hyperlink>
        </w:p>
        <w:p>
          <w:pPr>
            <w:pStyle w:val="BodyText"/>
          </w:pPr>
          <w:r>
            <w:rPr>
              <w:b/>
            </w:rPr>
            <w:t xml:space="preserve"> </w:t>
          </w:r>
        </w:p>
        <w:p>
          <w:pPr>
            <w:pStyle w:val="BodyText"/>
          </w:pPr>
          <w:r>
            <w:rPr>
              <w:b/>
            </w:rPr>
            <w:t xml:space="preserve">Contact us</w:t>
          </w:r>
        </w:p>
        <w:p>
          <w:pPr>
            <w:pStyle w:val="BodyText"/>
          </w:pPr>
          <w:r>
            <w:t xml:space="preserve">To discuss your transaction, please do </w:t>
          </w:r>
          <w:r>
            <w:rPr>
              <w:b/>
            </w:rPr>
            <w:t xml:space="preserve">get in touch</w:t>
          </w:r>
          <w:r>
            <w:t xml:space="preserve">. Contact details for each country can be found at the end of the relevant chapter.</w:t>
          </w:r>
        </w:p>
        <w:p>
          <w:pPr>
            <w:pStyle w:val="BodyText"/>
          </w:pPr>
          <w:r>
            <w:t xml:space="preserve">To </w:t>
          </w:r>
          <w:r>
            <w:rPr>
              <w:b/>
            </w:rPr>
            <w:t xml:space="preserve">learn more</w:t>
          </w:r>
          <w:r>
            <w:t xml:space="preserve"> about our Public M&amp;A expertise, please visit our website </w:t>
          </w:r>
          <w:hyperlink w:history="true" r:id="R0e228badb391480b">
            <w:r>
              <w:rPr>
                <w:rStyle w:val="Hyperlink"/>
                <w:b/>
              </w:rPr>
              <w:t xml:space="preserve">here</w:t>
            </w:r>
          </w:hyperlink>
          <w:r>
            <w:t xml:space="preserve">.</w:t>
          </w:r>
        </w:p>
        <w:p>
          <w:pPr>
            <w:pStyle w:val="BodyText"/>
          </w:pPr>
          <w:r>
            <w:rPr>
              <w:i/>
            </w:rPr>
            <w:t xml:space="preserve">The content's last review date is indicated on each chapter. All content is for informational purposes only and may not reflect the most current legal and regulatory developments. All summaries of the laws, regulations and practice are subject to change.</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168df52189cf4a39" /><Relationship Type="http://schemas.openxmlformats.org/officeDocument/2006/relationships/hyperlink" Target="https://www.bakermckenzie.com/-/media/files/expertise/ma-resources/global-public-ma-handbook.pdf" TargetMode="External" Id="Rb13468efd5ab4be8" /><Relationship Type="http://schemas.openxmlformats.org/officeDocument/2006/relationships/image" Target="/media/image4.png" Id="R2378886d8905411d" /><Relationship Type="http://schemas.openxmlformats.org/officeDocument/2006/relationships/hyperlink" Target="https://www.bakermckenzie.com/en/expertise/areasofpractice/public-ma" TargetMode="External" Id="R0e228badb391480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