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Attorney-Client Privilege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p>
      <w:pPr>
        <w:pStyle w:val="BodyText"/>
      </w:pPr>
      <w:pPr>
        <w:jc w:val="right"/>
      </w:pPr>
      <w:r>
        <w:t xml:space="preserve">Updated July 2022</w:t>
      </w:r>
    </w:p>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3"/>
          </w:pPr>
          <w:r>
            <w:t xml:space="preserve">Global Attorney-Client Privilege Guide</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drawing>
              <wp:inline distT="0" distB="0" distL="0" distR="0">
                <wp:extent cx="7620000" cy="2114550"/>
                <wp:effectExtent l="19050" t="0" r="0" b="0"/>
                <wp:docPr id="2" name="https://resourcehub.bakermckenzie.com/en/-/media/global-privilege-center/images/case1305073_banner_no_text.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global-privilege-center/images/case1305073_banner_no_text.jpg?sc_lang=en" descr="Banner_No_Text"/>
                        <pic:cNvPicPr>
                          <a:picLocks noChangeAspect="1" noChangeArrowheads="1"/>
                        </pic:cNvPicPr>
                      </pic:nvPicPr>
                      <pic:blipFill>
                        <a:blip r:embed="Rd57fd1cc4f2d4de3"/>
                        <a:srcRect/>
                        <a:stretch>
                          <a:fillRect/>
                        </a:stretch>
                      </pic:blipFill>
                      <pic:spPr bwMode="auto">
                        <a:xfrm>
                          <a:off x="0" y="0"/>
                          <a:ext cx="7620000" cy="2114550"/>
                        </a:xfrm>
                        <a:prstGeom prst="rect">
                          <a:avLst/>
                        </a:prstGeom>
                      </pic:spPr>
                    </pic:pic>
                  </a:graphicData>
                </a:graphic>
              </wp:inline>
            </w:drawing>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both"/>
          </w:pPr>
          <w:r>
            <w:rPr>
              <w:i/>
              <w:sz w:val="18"/>
            </w:rPr>
            <w:t xml:space="preserve">This content was last reviewed around July 2022. All content is for informational purposes only and may not reflect the most current legal and regulatory developments. All summaries of the laws, regulations and practice are subject to change. </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t xml:space="preserve">An interactive guide to the law and best practice on privilege in over 30 key jurisdictions, including details of the discovery process, the type and scope of privilege, sharing documents with third parties, details of how privilege applies in investigations and an overview of recent issues in the law of privilege.</w:t>
          </w:r>
        </w:p>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 </w:t>
      </w:r>
      <w:r>
        <w:rPr>
          <w:b/>
        </w:rPr>
        <w:t xml:space="preserve">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of reasonable portions of the Content is permitted provided that (i) such reproductions are made available free of charge and for non-commercial purposes, (ii) such reproductions are properly attributed to Baker McKenzie, (iii) the portion of the Content being reproduced is not altered or made available in a manner that modifies the Content or presents the Content being reproduced in a false light and (iv) notice is made to the disclaimers included on the Content. The permission to re-copy does not allow for incorporation of any substantial portion of the Content in any work or publication, whether in hard copy, electronic or any other form or for commercial purposes.</w:t>
      </w:r>
    </w:p>
    <w:p>
      <w:pPr>
        <w:pStyle w:val="Disclaimer"/>
      </w:pPr>
      <w:r>
        <w:t xml:space="preserve">© 2024 Baker McKenzie. All rights reserved.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https://resourcehub.bakermckenzie.com/en/resources/global-attorney-client-privilege-guide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d57fd1cc4f2d4de3"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