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Guide to Criminalization of Tax Offenses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This content was last reviewed around April 2023. All content is for informational purposes only and may not reflect the most current legal and regulatory developments. All summaries of the laws, regulations and practice are subject to change. </w:t>
          </w:r>
        </w:p>
        <w:p>
          <w:pPr>
            <w:pStyle w:val="BodyText"/>
          </w:pPr>
          <w:pPr>
            <w:jc w:val="center"/>
          </w:pPr>
          <w:r>
            <w:rPr>
              <w:color w:val="C00000"/>
            </w:rPr>
            <w:t xml:space="preserve">Global Guide to Criminalization of</w:t>
          </w:r>
          <w:r>
            <w:br/>
          </w:r>
          <w:r>
            <w:rPr>
              <w:color w:val="C00000"/>
            </w:rPr>
            <w:t xml:space="preserve">Tax Offenses</w:t>
          </w:r>
        </w:p>
        <w:p>
          <w:pPr>
            <w:pStyle w:val="BodyText"/>
          </w:pPr>
          <w:pPr>
            <w:jc w:val="center"/>
          </w:pPr>
          <w:r>
            <w:rPr>
              <w:color w:val="C00000"/>
            </w:rPr>
            <w:t xml:space="preserve">An interactive tool providing an International guide on the criminalization of tax offenses across the globe</w:t>
          </w:r>
        </w:p>
        <w:p>
          <w:pPr>
            <w:pStyle w:val="BodyText"/>
          </w:pPr>
          <w:r>
            <w:t xml:space="preserve">Over recent years, there has been a growing number of jurisdictions implementing stricter legislation for criminal charges for tax-related offenses. Managing potential criminalization of tax audits and liabilities for directors could have significant impact including management’s decisions.</w:t>
          </w:r>
        </w:p>
        <w:p>
          <w:pPr>
            <w:pStyle w:val="BodyText"/>
          </w:pPr>
          <w:r>
            <w:rPr>
              <w:b/>
            </w:rPr>
            <w:t xml:space="preserve">This interactive tool provides an overview of the criminalization of tax offenses across the globe. The tool is made up of two sections:</w:t>
          </w:r>
        </w:p>
        <w:p>
          <w:pPr>
            <w:pStyle w:val="BodyText"/>
          </w:pPr>
          <w:pPr>
            <w:pStyle w:val="ListParagraph"/>
            <w:numPr>
              <w:ilvl w:val="0"/>
              <w:numId w:val="19"/>
            </w:numPr>
          </w:pPr>
          <w:r>
            <w:t xml:space="preserve">International guide on the criminalization of tax offenses, which covers frequently asked questions including an outline of criminal tax fraud offences across the globe, typical trigger points that could lead to criminal investigations and more.</w:t>
          </w:r>
        </w:p>
        <w:p>
          <w:pPr>
            <w:pStyle w:val="BodyText"/>
          </w:pPr>
          <w:pPr>
            <w:pStyle w:val="ListParagraph"/>
            <w:numPr>
              <w:ilvl w:val="0"/>
              <w:numId w:val="19"/>
            </w:numPr>
          </w:pPr>
          <w:r>
            <w:t xml:space="preserve">Interactive Map tool providing a visual outline of whether Corporates, Individuals or Both can be prosecuted for tax offenses across jurisdictions.</w:t>
          </w:r>
        </w:p>
        <w:p>
          <w:pPr>
            <w:pStyle w:val="BodyText"/>
          </w:pPr>
          <w:pPr>
            <w:jc w:val="center"/>
          </w:pPr>
          <w:r>
            <w:rPr>
              <w:color w:val="C00000"/>
            </w:rPr>
            <w:t xml:space="preserve">Interactive Map outlining who can be prosecuted for tax offenses</w:t>
          </w:r>
        </w:p>
        <w:p>
          <w:pPr>
            <w:pStyle w:val="BodyText"/>
          </w:pPr>
          <w:r>
            <w:t xml:space="preserve">The Interactive Map tool outlines whether Corporates, Individuals or Both can be prosecuted for tax offenses across the globe.</w:t>
          </w:r>
        </w:p>
        <w:p>
          <w:pPr>
            <w:pStyle w:val="BodyText"/>
          </w:pPr>
          <w:r>
            <w:t xml:space="preserve">Click </w:t>
          </w:r>
          <w:hyperlink w:history="true" r:id="Ra0ada7129c4e4111">
            <w:r>
              <w:rPr>
                <w:rStyle w:val="Hyperlink"/>
              </w:rPr>
              <w:t xml:space="preserve">here</w:t>
            </w:r>
          </w:hyperlink>
          <w:r>
            <w:t xml:space="preserve"> to navigate to the Interactive Map page or download a PDF copy of the map </w:t>
          </w:r>
          <w:hyperlink w:history="true" r:id="Rc31fa246c9244bc9">
            <w:r>
              <w:rPr>
                <w:rStyle w:val="Hyperlink"/>
              </w:rPr>
              <w:t xml:space="preserve">here</w:t>
            </w:r>
          </w:hyperlink>
          <w:r>
            <w:t xml:space="preserve">.</w:t>
          </w:r>
        </w:p>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p>
          <w:pPr>
            <w:pStyle w:val="BodyText"/>
          </w:pPr>
          <w:r>
            <w:t xml:space="preserve">The content was last updated on April 2023</w:t>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https://resourcehub.bakermckenzie.com/en/resources/tax-dispute-resolution---criminal-proceedings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en/resources/tax-dispute-resolution---criminal-proceedings/interactive-map" TargetMode="External" Id="Ra0ada7129c4e4111" /><Relationship Type="http://schemas.openxmlformats.org/officeDocument/2006/relationships/hyperlink" Target="https://resourcehub.bakermckenzie.com/en/-/media/criminal-proceedings/files/case1979728_tdr-criminal-tool---map-responses.pdf?rev=7063f7711d6a49f9a2d83405c4ceecd2&amp;sc_lang=en" TargetMode="External" Id="Rc31fa246c9244bc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