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Saudi Arabia</w:t>
      </w:r>
      <w:r w:rsidR="00480329"/>
    </w:p>
    <w:p w:rsidRPr="00BC7873" w:rsidR="00BC7873" w:rsidP="00D354EF" w:rsidRDefault="00051AB4" w14:paraId="2476CC56" w14:textId="2FB25FA9">
      <w:pPr>
        <w:pStyle w:val="Title"/>
      </w:pPr>
      <w:r w:rsidRPr="00BC7873">
        <w:t>Leases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forms of leases?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are the usual forms of leases:</w:t>
              </w:r>
            </w:p>
            <w:p>
              <w:pPr>
                <w:pStyle w:val="BodyText"/>
              </w:pPr>
              <w:pPr>
                <w:pStyle w:val="ListParagraph"/>
                <w:numPr>
                  <w:ilvl w:val="0"/>
                  <w:numId w:val="12"/>
                </w:numPr>
              </w:pPr>
              <w:r>
                <w:t xml:space="preserve">Industrial leases</w:t>
              </w:r>
            </w:p>
            <w:p>
              <w:pPr>
                <w:pStyle w:val="BodyText"/>
              </w:pPr>
              <w:pPr>
                <w:pStyle w:val="ListParagraph"/>
                <w:numPr>
                  <w:ilvl w:val="0"/>
                  <w:numId w:val="12"/>
                </w:numPr>
              </w:pPr>
              <w:r>
                <w:t xml:space="preserve">Commercial office leases</w:t>
              </w:r>
            </w:p>
            <w:p>
              <w:pPr>
                <w:pStyle w:val="BodyText"/>
              </w:pPr>
              <w:pPr>
                <w:pStyle w:val="ListParagraph"/>
                <w:numPr>
                  <w:ilvl w:val="0"/>
                  <w:numId w:val="12"/>
                </w:numPr>
              </w:pPr>
              <w:r>
                <w:t xml:space="preserve">Retail leases</w:t>
              </w:r>
            </w:p>
            <w:p>
              <w:pPr>
                <w:pStyle w:val="BodyText"/>
              </w:pPr>
              <w:pPr>
                <w:pStyle w:val="ListParagraph"/>
                <w:numPr>
                  <w:ilvl w:val="0"/>
                  <w:numId w:val="12"/>
                </w:numPr>
              </w:pPr>
              <w:r>
                <w:t xml:space="preserve">Residential leases</w:t>
              </w:r>
            </w:p>
            <w:p>
              <w:pPr>
                <w:pStyle w:val="BodyText"/>
              </w:pPr>
              <w:pPr>
                <w:pStyle w:val="ListParagraph"/>
                <w:numPr>
                  <w:ilvl w:val="0"/>
                  <w:numId w:val="12"/>
                </w:numPr>
              </w:pPr>
              <w:r>
                <w:t xml:space="preserve">Development leases/ground leases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lease provisions regulated or freely negotiable?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While there is no leasing law per se specifying lease provisions, if parties wish to benefit from having their lease being directly enforceable by the enforcement courts as an enforcement instrument, a unified form of lease is available and must be registered on the online Ejar platform.</w:t>
              </w:r>
            </w:p>
            <w:p>
              <w:pPr>
                <w:pStyle w:val="BodyText"/>
              </w:pPr>
              <w:r>
                <w:t xml:space="preserve">Parties are free not to use the unified form of lease. However, this free-form lease must still be registered on the Ejar platform to be enforceable in the ordinary course (i.e., free-form leases are enforceable through normal courts and not as enforcement instruments if they are registered).</w:t>
              </w:r>
            </w:p>
            <w:p>
              <w:pPr>
                <w:pStyle w:val="BodyText"/>
              </w:pPr>
              <w:r>
                <w:t xml:space="preserve">Additionally, leases of industrial land in Jubail and Yanbu and industrial land administered by the Saudi Authority for Industrial Cities and Technology Zones “MODON“ are subject to very limited changes from the prescribed form.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maximum term for leases? Can these be extended?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Leases entered into by landlords with government departments or agencies are limited to an initial term of no less than five years. The lease can be extended to 50 years under certain conditions.</w:t>
              </w:r>
            </w:p>
            <w:p>
              <w:pPr>
                <w:pStyle w:val="BodyText"/>
              </w:pPr>
              <w:r>
                <w:t xml:space="preserve">There is no maximum term or limitations on renewal for nongovernment leases in Saudi Arabia.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lease terms?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 leases are for terms of one year, renewable for further one-year terms and subject to upward rent review, except for development leases or ground leases and for industrial leases, which are usually for terms between 15 and 25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instances where tenants may demand an extension of the lease?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On what grounds may a lease be terminated?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general, a landlord can only terminate a lease pursuant to the termination provisions contained therein (e.g., the tenant is in breach of its obligations under the lease).</w:t>
              </w:r>
            </w:p>
            <w:p>
              <w:pPr>
                <w:pStyle w:val="BodyText"/>
              </w:pPr>
              <w:r>
                <w:t xml:space="preserve">A tenant may not terminate a lease without cause, unless there are specific provisions in the lease permitting such termination.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Must rents be paid in local currency?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parties to a lease are free to set the rent in currencies other than Saudi riyals. However, arrangements for payment of rent in foreign currency are not typical.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rent paid on a monthly basis? Is it required to be paid in advance?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Rent is typically paid annually in advance.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is rent reviewed? Are there limits to the increase in rent?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laws that set a cap on rent reviews or that seek to control renewals.</w:t>
              </w:r>
            </w:p>
            <w:p>
              <w:pPr>
                <w:pStyle w:val="BodyText"/>
              </w:pPr>
              <w:r>
                <w:t xml:space="preserve">Rent is usually reviewed upward upon the renewal of the term, either at market rates or by a fixed increment of 5%-10%. There are no limits on the extent to which a landlord can increase rent, so long as the increase takes place at the time of renewal or at dates/intervals agreed by the parties.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basic obligations of landlords and tenants?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0"/>
                </w:numPr>
              </w:pPr>
              <w:r>
                <w:t xml:space="preserve">Repair and maintain the structure of the property</w:t>
              </w:r>
            </w:p>
            <w:p>
              <w:pPr>
                <w:pStyle w:val="BodyText"/>
              </w:pPr>
              <w:pPr>
                <w:pStyle w:val="ListParagraph"/>
                <w:numPr>
                  <w:ilvl w:val="0"/>
                  <w:numId w:val="10"/>
                </w:numPr>
              </w:pPr>
              <w:r>
                <w:t xml:space="preserve">Insure the property</w:t>
              </w:r>
            </w:p>
            <w:p>
              <w:pPr>
                <w:pStyle w:val="BodyText"/>
              </w:pPr>
              <w:pPr>
                <w:pStyle w:val="ListParagraph"/>
                <w:numPr>
                  <w:ilvl w:val="0"/>
                  <w:numId w:val="10"/>
                </w:numPr>
              </w:pPr>
              <w:r>
                <w:t xml:space="preserve">Provide tenants with a valid notice of termination if terminating the tenancy</w:t>
              </w:r>
            </w:p>
            <w:p>
              <w:pPr>
                <w:pStyle w:val="BodyText"/>
              </w:pPr>
              <w:r>
                <w:t xml:space="preserve">The following is usually required of tenants:</w:t>
              </w:r>
            </w:p>
            <w:p>
              <w:pPr>
                <w:pStyle w:val="BodyText"/>
              </w:pPr>
              <w:pPr>
                <w:pStyle w:val="ListParagraph"/>
                <w:numPr>
                  <w:ilvl w:val="0"/>
                  <w:numId w:val="11"/>
                </w:numPr>
              </w:pPr>
              <w:r>
                <w:t xml:space="preserve">Pay rent on time</w:t>
              </w:r>
            </w:p>
            <w:p>
              <w:pPr>
                <w:pStyle w:val="BodyText"/>
              </w:pPr>
              <w:pPr>
                <w:pStyle w:val="ListParagraph"/>
                <w:numPr>
                  <w:ilvl w:val="0"/>
                  <w:numId w:val="11"/>
                </w:numPr>
              </w:pPr>
              <w:r>
                <w:t xml:space="preserve">Keep the property in good order</w:t>
              </w:r>
            </w:p>
            <w:p>
              <w:pPr>
                <w:pStyle w:val="BodyText"/>
              </w:pPr>
              <w:pPr>
                <w:pStyle w:val="ListParagraph"/>
                <w:numPr>
                  <w:ilvl w:val="0"/>
                  <w:numId w:val="11"/>
                </w:numPr>
              </w:pPr>
              <w:r>
                <w:t xml:space="preserve">Inform the landlord if repairs are needed and give the landlord access to the property to carry out repairs</w:t>
              </w:r>
            </w:p>
            <w:p>
              <w:pPr>
                <w:pStyle w:val="BodyText"/>
              </w:pPr>
              <w:pPr>
                <w:pStyle w:val="ListParagraph"/>
                <w:numPr>
                  <w:ilvl w:val="0"/>
                  <w:numId w:val="11"/>
                </w:numPr>
              </w:pPr>
              <w:r>
                <w:t xml:space="preserve">Give the landlord access for inspections and to perform the landlord’s work</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provisions or restrictions typically apply to the transfer of the lease by the tenant? May a tenant sublet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Tenants and landlords are free to agree on the extent to which a tenant can alienate their interest in the lease, except for industrial and governmental leases. Typically, tenants are prohibited from assigning or subletting the whole or part of the leased premises without the landlord’s prior written consent.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happens in the event of destruction of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 tenant caused the destruction of the leased premises, they will be liable not only for the remaining rent due for the balance of the term but also for the costs arising from that destruction, including the cost of reinstatement.</w:t>
              </w:r>
            </w:p>
            <w:p>
              <w:pPr>
                <w:pStyle w:val="BodyText"/>
              </w:pPr>
              <w:r>
                <w:t xml:space="preserve">If the landlord caused the destruction of the leased premises, the lease ends and the tenant can claim damages from the landlord for their direct losses. The tenant will be entitled to receive a refund on that portion of the rent paid in advance prior to the date of termination.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is usually responsible for insuring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Neither party is obligated by law to insure against the risks arising in respect of the leased premises.</w:t>
              </w:r>
            </w:p>
            <w:p>
              <w:pPr>
                <w:pStyle w:val="BodyText"/>
              </w:pPr>
              <w:r>
                <w:t xml:space="preserve">However, leases commonly contain insurance provisions, pursuant to which:</w:t>
              </w:r>
            </w:p>
            <w:p>
              <w:pPr>
                <w:pStyle w:val="BodyText"/>
              </w:pPr>
              <w:pPr>
                <w:pStyle w:val="ListParagraph"/>
                <w:numPr>
                  <w:ilvl w:val="0"/>
                  <w:numId w:val="9"/>
                </w:numPr>
              </w:pPr>
              <w:r>
                <w:t xml:space="preserve">The landlord takes out all-risk property insurance and third-party/public liability insurance</w:t>
              </w:r>
            </w:p>
            <w:p>
              <w:pPr>
                <w:pStyle w:val="BodyText"/>
              </w:pPr>
              <w:pPr>
                <w:pStyle w:val="ListParagraph"/>
                <w:numPr>
                  <w:ilvl w:val="0"/>
                  <w:numId w:val="9"/>
                </w:numPr>
              </w:pPr>
              <w:r>
                <w:t xml:space="preserve">The tenant takes out insurance in respect of its fixtures, fittings and belongings within the leased premises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owner sells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as the lease runs with the land and binds subsequent owners.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leased premises are foreclosed?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as the lease runs with the land and binds subsequent owners.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