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C7873" w:rsidR="00BC7873" w:rsidP="00025B2B" w:rsidRDefault="00421ABE" w14:paraId="5605F879" w14:textId="3E2C2C85">
      <w:pPr>
        <w:pStyle w:val="Subtitle"/>
      </w:pPr>
      <w:r w:rsidRPr="00BC7873">
        <w:t>Global Corporate Real Estate Guide</w:t>
      </w:r>
    </w:p>
    <w:p w:rsidRPr="005C2C83" w:rsidR="008020A8" w:rsidP="005C2C83" w:rsidRDefault="00761F2A" w14:paraId="655AAA20" w14:textId="71DF5B27">
      <w:pPr>
        <w:pStyle w:val="Table"/>
      </w:pPr>
      <w:r>
        <w:br w:type="page"/>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8990"/>
      </w:tblGrid>
      <w:tr w:rsidR="0097103A" w:rsidTr="00C93D03" w14:paraId="41A93E73" w14:textId="77777777">
        <w:trPr>
          <w:tblHeader/>
        </w:trPr>
        <w:tc>
          <w:tcPr>
            <w:tcW w:w="8990" w:type="dxa"/>
          </w:tcPr>
          <w:p w:rsidR="0097103A" w:rsidP="0097103A" w:rsidRDefault="0097103A" w14:paraId="04335DFC" w14:textId="5E9F37C4">
            <w:pPr>
              <w:pStyle w:val="TOCHeading"/>
              <w:spacing w:after="160"/>
            </w:pPr>
            <w:r>
              <w:lastRenderedPageBreak/>
              <w:t>Contents</w:t>
            </w:r>
          </w:p>
        </w:tc>
      </w:tr>
      <w:tr w:rsidR="0097103A" w:rsidTr="0097103A" w14:paraId="2EAF8FE2" w14:textId="77777777">
        <w:tc>
          <w:tcPr>
            <w:tcW w:w="8990" w:type="dxa"/>
          </w:tcPr>
          <w:sdt>
            <w:sdtPr>
              <w:rPr>
                <w:rFonts w:asciiTheme="minorHAnsi" w:hAnsiTheme="minorHAnsi"/>
                <w:b/>
                <w:bCs/>
                <w:noProof/>
              </w:rPr>
              <w:id w:val="1154019052"/>
              <w:docPartObj>
                <w:docPartGallery w:val="Table of Contents"/>
                <w:docPartUnique/>
              </w:docPartObj>
            </w:sdtPr>
            <w:sdtEndPr>
              <w:rPr>
                <w:rFonts w:ascii="Arial" w:hAnsi="Arial"/>
                <w:b w:val="0"/>
                <w:bCs w:val="0"/>
                <w:noProof w:val="0"/>
              </w:rPr>
            </w:sdtEndPr>
            <w:sdtContent>
              <w:bookmarkStart w:name="_Toc33529396" w:displacedByCustomXml="next" w:id="0"/>
              <w:sdt>
                <w:sdtPr>
                  <w:rPr>
                    <w:rFonts w:asciiTheme="minorHAnsi" w:hAnsiTheme="minorHAnsi"/>
                    <w:b/>
                    <w:bCs/>
                    <w:noProof/>
                  </w:rPr>
                  <w:id w:val="-518013989"/>
                  <w:docPartObj>
                    <w:docPartGallery w:val="Table of Contents"/>
                    <w:docPartUnique/>
                  </w:docPartObj>
                </w:sdtPr>
                <w:sdtEndPr>
                  <w:rPr>
                    <w:rFonts w:ascii="Arial" w:hAnsi="Arial"/>
                    <w:b w:val="0"/>
                    <w:bCs w:val="0"/>
                    <w:noProof w:val="0"/>
                    <w:sz w:val="20"/>
                  </w:rPr>
                </w:sdtEndPr>
                <w:sdtContent>
                  <w:bookmarkEnd w:displacedByCustomXml="prev" w:id="0"/>
                  <w:p w:rsidRPr="0097103A" w:rsidR="0097103A" w:rsidP="0097103A" w:rsidRDefault="0097103A" w14:paraId="14CD9A92" w14:textId="01B2A8FB">
                    <w:pPr>
                      <w:pStyle w:val="TOC1"/>
                      <w:rPr>
                        <w:sz w:val="20"/>
                      </w:rPr>
                    </w:pPr>
                    <w:r>
                      <w:fldChar w:fldCharType="begin"/>
                    </w:r>
                    <w:r>
                      <w:instrText xml:space="preserve"> TOC \o "1-2" \h \z \u </w:instrText>
                    </w:r>
                    <w:r>
                      <w:fldChar w:fldCharType="separate"/>
                    </w:r>
                    <w:r>
                      <w:t xml:space="preserve">To generate table of contents, right-click here and select </w:t>
                    </w:r>
                    <w:r w:rsidRPr="008816BB">
                      <w:rPr>
                        <w:b/>
                        <w:bCs/>
                      </w:rPr>
                      <w:t>Update Field</w:t>
                    </w:r>
                    <w:r>
                      <w:rPr>
                        <w:b/>
                        <w:bCs/>
                        <w:noProof/>
                      </w:rPr>
                      <w:t>.</w:t>
                    </w:r>
                    <w:r>
                      <w:rPr>
                        <w:b/>
                        <w:bCs/>
                        <w:noProof/>
                      </w:rPr>
                      <w:fldChar w:fldCharType="end"/>
                    </w:r>
                  </w:p>
                </w:sdtContent>
              </w:sdt>
            </w:sdtContent>
          </w:sdt>
        </w:tc>
      </w:tr>
    </w:tbl>
    <w:p w:rsidR="001D13A1" w:rsidRDefault="001D13A1" w14:paraId="623D7F49" w14:textId="4A343F5E">
      <w:pPr>
        <w:spacing w:after="160" w:line="259" w:lineRule="auto"/>
      </w:pPr>
      <w:r>
        <w:br w:type="page"/>
      </w:r>
    </w:p>
    <w:bookmarkStart w:name="_Toc42605613" w:displacedByCustomXml="next" w:id="1"/>
    <w:bookmarkEnd w:displacedByCustomXml="prev" w:id="1"/>
    <w:bookmarkStart w:name="_Toc42605614" w:displacedByCustomXml="next" w:id="2"/>
    <w:sdt>
      <w:sdtPr>
        <w:rPr>
          <w:rFonts w:eastAsiaTheme="minorHAnsi" w:cstheme="minorBidi"/>
          <w:b/>
          <w:color w:val="auto"/>
          <w:sz w:val="20"/>
          <w:szCs w:val="20"/>
        </w:rPr>
        <w:id w:val="655893973"/>
        <w:placeholder>
          <w:docPart w:val="DefaultPlaceholder_-1854013435"/>
        </w:placeholder>
        <w15:repeatingSectionItem/>
      </w:sdtPr>
      <w:sdtEndPr>
        <w:rPr>
          <w:b w:val="0"/>
          <w:szCs w:val="22"/>
        </w:rPr>
      </w:sdtEndPr>
      <w:sdtContent>
        <w:bookmarkEnd w:displacedByCustomXml="next" w:id="2"/>
        <w:p>
          <w:pPr>
            <w:pStyle w:val="BodyText"/>
          </w:pPr>
          <w:pPr>
            <w:jc w:val="center"/>
          </w:pPr>
          <w:r>
            <w:drawing>
              <wp:inline distT="0" distB="0" distL="0" distR="0">
                <wp:extent cx="8115300" cy="1724025"/>
                <wp:effectExtent l="19050" t="0" r="0" b="0"/>
                <wp:docPr id="2" name="https://resourcehub.bakermckenzie.com/en/-/media/corporate-real-estate/images/cre-guide-image-banner_new.jpg?h=181&amp;amp;w=852&amp;amp;rev=15cddd3c579f41fc82e5f5e2a72a3a3d&amp;sc_lang=en"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ttps://resourcehub.bakermckenzie.com/en/-/media/corporate-real-estate/images/cre-guide-image-banner_new.jpg?h=181&amp;amp;w=852&amp;amp;rev=15cddd3c579f41fc82e5f5e2a72a3a3d&amp;sc_lang=en" descr="CRE_image"/>
                        <pic:cNvPicPr>
                          <a:picLocks noChangeAspect="1" noChangeArrowheads="1"/>
                        </pic:cNvPicPr>
                      </pic:nvPicPr>
                      <pic:blipFill>
                        <a:blip r:embed="R2c125d77027b4062"/>
                        <a:srcRect/>
                        <a:stretch>
                          <a:fillRect/>
                        </a:stretch>
                      </pic:blipFill>
                      <pic:spPr bwMode="auto">
                        <a:xfrm>
                          <a:off x="0" y="0"/>
                          <a:ext cx="8115300" cy="1724025"/>
                        </a:xfrm>
                        <a:prstGeom prst="rect">
                          <a:avLst/>
                        </a:prstGeom>
                      </pic:spPr>
                    </pic:pic>
                  </a:graphicData>
                </a:graphic>
              </wp:inline>
            </w:drawing>
          </w:r>
        </w:p>
        <w:p>
          <w:pPr>
            <w:pStyle w:val="BodyText"/>
          </w:pPr>
          <w:pPr>
            <w:jc w:val="center"/>
          </w:pPr>
          <w:r>
            <w:rPr>
              <w:color w:val="AD122A"/>
            </w:rPr>
            <w:t xml:space="preserve">Global Corporate Real Estate Guide</w:t>
          </w:r>
        </w:p>
        <w:p>
          <w:pPr>
            <w:pStyle w:val="BodyText"/>
          </w:pPr>
          <w:pPr>
            <w:jc w:val="both"/>
          </w:pPr>
          <w:r>
            <w:rPr>
              <w:i/>
              <w:sz w:val="18"/>
            </w:rPr>
            <w:t xml:space="preserve">The content's last review date is indicated on each page. All content is for informational purposes only and may not reflect the most current legal and regulatory developments. All summaries of the laws, regulations and practice are subject to change.</w:t>
          </w:r>
          <w:r>
            <w:rPr>
              <w:sz w:val="18"/>
            </w:rPr>
            <w:t xml:space="preserve"> </w:t>
          </w:r>
        </w:p>
        <w:p>
          <w:pPr>
            <w:pStyle w:val="BodyText"/>
          </w:pPr>
          <w:pPr>
            <w:jc w:val="both"/>
          </w:pPr>
          <w:r>
            <w:t xml:space="preserve"> </w:t>
          </w:r>
        </w:p>
        <w:p>
          <w:pPr>
            <w:pStyle w:val="BodyText"/>
          </w:pPr>
          <w:pPr>
            <w:jc w:val="both"/>
          </w:pPr>
          <w:r>
            <w:t xml:space="preserve">Dear reader,</w:t>
          </w:r>
        </w:p>
        <w:p>
          <w:pPr>
            <w:pStyle w:val="BodyText"/>
          </w:pPr>
          <w:pPr>
            <w:jc w:val="both"/>
          </w:pPr>
          <w:r>
            <w:t xml:space="preserve">The commercial real estate market has been drastically affected by the shift to hybrid working, the evolution of digitalization and the growth of online sales, geopolitical issues, and the pandemic, among other relevant factors. Evolving regulatory requirements in key real estate markets and rapidly changing economic environments have made it more challenging for multinational companies and other investors to efficiently manage their real estate portfolios. On top of this, rising cost pressure, new leasing standards and technology advancements, such as the rise of artificial intelligence, are forcing many companies to reevaluate their corporate real estate strategy and operations.</w:t>
          </w:r>
        </w:p>
        <w:p>
          <w:pPr>
            <w:pStyle w:val="BodyText"/>
          </w:pPr>
          <w:pPr>
            <w:jc w:val="both"/>
          </w:pPr>
          <w:r>
            <w:t xml:space="preserve">We have created the Global Corporate Real Estate Guide with the belief that, whether you are an investor or an occupier, having up-to-date knowledge on real estate law in various jurisdictions is vital in decisions concerning your business. This edition covers 38 jurisdictions across Asia Pacific, Europe, the Middle East and the Americas. The guide is intended to provide fundamental information on each country’s real estate laws, including its system of registration, and common commercial terms related to acquisitions, disposals, leases, planning and environmental issues.</w:t>
          </w:r>
        </w:p>
        <w:p>
          <w:pPr>
            <w:pStyle w:val="BodyText"/>
          </w:pPr>
          <w:pPr>
            <w:jc w:val="both"/>
          </w:pPr>
          <w:r>
            <w:t xml:space="preserve">I thank all my colleagues across the globe for their contributions and expertise in compiling this guide, and I trust it proves a useful resource for you. For questions, assistance or advice, I invite you to contact any of the local Baker McKenzie chapter authors referenced in the Guide.</w:t>
          </w:r>
        </w:p>
        <w:p>
          <w:pPr>
            <w:pStyle w:val="BodyText"/>
          </w:pPr>
          <w:pPr>
            <w:jc w:val="both"/>
          </w:pPr>
          <w:r>
            <w:t xml:space="preserve"> </w:t>
          </w:r>
        </w:p>
        <w:p>
          <w:pPr>
            <w:pStyle w:val="BodyText"/>
          </w:pPr>
          <w:hyperlink w:history="true" r:id="Rbaadcb863d944dc1">
            <w:r>
              <w:drawing>
                <wp:inline distT="0" distB="0" distL="0" distR="0">
                  <wp:extent cx="2333625" cy="2657475"/>
                  <wp:effectExtent l="19050" t="0" r="0" b="0"/>
                  <wp:docPr id="3" name="https://resourcehub.bakermckenzie.com/en/-/media/corporate-real-estate/images/jb_garcia-details.jpg?rev=f0e7861fc48143db8366381a72da15d0&amp;sc_lang=en" descr="">
                    <a:hlinkClick xmlns:a="http://schemas.openxmlformats.org/drawingml/2006/main" r:id="Rbaadcb863d944dc1" tooltip="JB_Gracia-details"/>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ttps://resourcehub.bakermckenzie.com/en/-/media/corporate-real-estate/images/jb_garcia-details.jpg?rev=f0e7861fc48143db8366381a72da15d0&amp;sc_lang=en" descr="JB_Gracia-details"/>
                          <pic:cNvPicPr>
                            <a:picLocks noChangeAspect="1" noChangeArrowheads="1"/>
                          </pic:cNvPicPr>
                        </pic:nvPicPr>
                        <pic:blipFill>
                          <a:blip r:embed="Rcbc79af2e3a54734"/>
                          <a:srcRect/>
                          <a:stretch>
                            <a:fillRect/>
                          </a:stretch>
                        </pic:blipFill>
                        <pic:spPr bwMode="auto">
                          <a:xfrm>
                            <a:off x="0" y="0"/>
                            <a:ext cx="2333625" cy="2657475"/>
                          </a:xfrm>
                          <a:prstGeom prst="rect">
                            <a:avLst/>
                          </a:prstGeom>
                        </pic:spPr>
                      </pic:pic>
                    </a:graphicData>
                  </a:graphic>
                </wp:inline>
              </w:drawing>
            </w:r>
          </w:hyperlink>
        </w:p>
        <w:p>
          <w:pPr>
            <w:pStyle w:val="BodyText"/>
          </w:pPr>
          <w:r>
            <w:t xml:space="preserve">                                                                              </w:t>
          </w:r>
        </w:p>
        <w:p>
          <w:pPr>
            <w:pStyle w:val="BodyText"/>
          </w:pPr>
          <w:r>
            <w:t xml:space="preserve"> </w:t>
          </w:r>
        </w:p>
        <w:p>
          <w:pPr>
            <w:pStyle w:val="BodyText"/>
          </w:pPr>
          <w:hyperlink w:history="true" r:id="Rde140f4490964718">
            <w:r>
              <w:drawing>
                <wp:inline distT="0" distB="0" distL="0" distR="0">
                  <wp:extent cx="1866899" cy="476250"/>
                  <wp:effectExtent l="19050" t="0" r="0" b="0"/>
                  <wp:docPr id="4" name="https://resourcehub.bakermckenzie.com/en/-/media/corporate-real-estate/images/button_download-full-guide.png?h=50.4444&amp;amp;w=196.222&amp;amp;rev=4482f28bdc9c4b84aba1215bdaff3542&amp;sc_lang=en" descr="">
                    <a:hlinkClick xmlns:a="http://schemas.openxmlformats.org/drawingml/2006/main" r:id="Rde140f4490964718" tooltip="DL_full-guide"/>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ttps://resourcehub.bakermckenzie.com/en/-/media/corporate-real-estate/images/button_download-full-guide.png?h=50.4444&amp;amp;w=196.222&amp;amp;rev=4482f28bdc9c4b84aba1215bdaff3542&amp;sc_lang=en" descr="DL_full-guide"/>
                          <pic:cNvPicPr>
                            <a:picLocks noChangeAspect="1" noChangeArrowheads="1"/>
                          </pic:cNvPicPr>
                        </pic:nvPicPr>
                        <pic:blipFill>
                          <a:blip r:embed="R52fcb5c72dad4404"/>
                          <a:srcRect/>
                          <a:stretch>
                            <a:fillRect/>
                          </a:stretch>
                        </pic:blipFill>
                        <pic:spPr bwMode="auto">
                          <a:xfrm>
                            <a:off x="0" y="0"/>
                            <a:ext cx="1866899" cy="476250"/>
                          </a:xfrm>
                          <a:prstGeom prst="rect">
                            <a:avLst/>
                          </a:prstGeom>
                        </pic:spPr>
                      </pic:pic>
                    </a:graphicData>
                  </a:graphic>
                </wp:inline>
              </w:drawing>
            </w:r>
          </w:hyperlink>
        </w:p>
        <w:p>
          <w:pPr>
            <w:pStyle w:val="BodyText"/>
          </w:pPr>
          <w:r>
            <w:br/>
          </w:r>
          <w:hyperlink w:history="true" r:id="R9480e66bde494f3f">
            <w:r>
              <w:drawing>
                <wp:inline distT="0" distB="0" distL="0" distR="0">
                  <wp:extent cx="1866899" cy="476250"/>
                  <wp:effectExtent l="19050" t="0" r="0" b="0"/>
                  <wp:docPr id="5" name="https://resourcehub.bakermckenzie.com/en/-/media/corporate-real-estate/images/button_list-of-authors.png?h=50.4444&amp;amp;w=196.222&amp;amp;rev=ad0cf606eaa947e7a7fd054404eaa5d6&amp;sc_lang=en" descr="">
                    <a:hlinkClick xmlns:a="http://schemas.openxmlformats.org/drawingml/2006/main" r:id="R9480e66bde494f3f" tooltip="author_Li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ttps://resourcehub.bakermckenzie.com/en/-/media/corporate-real-estate/images/button_list-of-authors.png?h=50.4444&amp;amp;w=196.222&amp;amp;rev=ad0cf606eaa947e7a7fd054404eaa5d6&amp;sc_lang=en" descr="author_List"/>
                          <pic:cNvPicPr>
                            <a:picLocks noChangeAspect="1" noChangeArrowheads="1"/>
                          </pic:cNvPicPr>
                        </pic:nvPicPr>
                        <pic:blipFill>
                          <a:blip r:embed="R6b894e64d8524b09"/>
                          <a:srcRect/>
                          <a:stretch>
                            <a:fillRect/>
                          </a:stretch>
                        </pic:blipFill>
                        <pic:spPr bwMode="auto">
                          <a:xfrm>
                            <a:off x="0" y="0"/>
                            <a:ext cx="1866899" cy="476250"/>
                          </a:xfrm>
                          <a:prstGeom prst="rect">
                            <a:avLst/>
                          </a:prstGeom>
                        </pic:spPr>
                      </pic:pic>
                    </a:graphicData>
                  </a:graphic>
                </wp:inline>
              </w:drawing>
            </w:r>
          </w:hyperlink>
        </w:p>
        <w:p>
          <w:pPr>
            <w:pStyle w:val="BodyText"/>
          </w:pPr>
          <w:r>
            <w:t xml:space="preserve"> </w:t>
          </w:r>
          <w:r>
            <w:br/>
          </w:r>
          <w:hyperlink w:tooltip="InsightPlus" w:history="true" r:id="Rd701aeac2180499a">
            <w:r>
              <w:drawing>
                <wp:inline distT="0" distB="0" distL="0" distR="0">
                  <wp:extent cx="1866899" cy="476250"/>
                  <wp:effectExtent l="19050" t="0" r="0" b="0"/>
                  <wp:docPr id="6" name="https://resourcehub.bakermckenzie.com/en/-/media/corporate-real-estate/images/button_insightplus.png?h=50.4444&amp;amp;w=196.222&amp;amp;rev=209fb534ed6a432caba47f753b048a2d&amp;sc_lang=en" descr="">
                    <a:hlinkClick xmlns:a="http://schemas.openxmlformats.org/drawingml/2006/main" r:id="Rd701aeac2180499a" tooltip="Insigh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https://resourcehub.bakermckenzie.com/en/-/media/corporate-real-estate/images/button_insightplus.png?h=50.4444&amp;amp;w=196.222&amp;amp;rev=209fb534ed6a432caba47f753b048a2d&amp;sc_lang=en" descr="Insight"/>
                          <pic:cNvPicPr>
                            <a:picLocks noChangeAspect="1" noChangeArrowheads="1"/>
                          </pic:cNvPicPr>
                        </pic:nvPicPr>
                        <pic:blipFill>
                          <a:blip r:embed="Rf047a394dace4367"/>
                          <a:srcRect/>
                          <a:stretch>
                            <a:fillRect/>
                          </a:stretch>
                        </pic:blipFill>
                        <pic:spPr bwMode="auto">
                          <a:xfrm>
                            <a:off x="0" y="0"/>
                            <a:ext cx="1866899" cy="476250"/>
                          </a:xfrm>
                          <a:prstGeom prst="rect">
                            <a:avLst/>
                          </a:prstGeom>
                        </pic:spPr>
                      </pic:pic>
                    </a:graphicData>
                  </a:graphic>
                </wp:inline>
              </w:drawing>
            </w:r>
          </w:hyperlink>
        </w:p>
        <w:p>
          <w:pPr>
            <w:pStyle w:val="BodyText"/>
          </w:pPr>
          <w:r>
            <w:br/>
          </w:r>
          <w:hyperlink w:tooltip="Baker McKenzie Real Estate Website" w:history="true" r:id="R27bf181921f24b8e">
            <w:r>
              <w:drawing>
                <wp:inline distT="0" distB="0" distL="0" distR="0">
                  <wp:extent cx="1866899" cy="476250"/>
                  <wp:effectExtent l="19050" t="0" r="0" b="0"/>
                  <wp:docPr id="7" name="https://resourcehub.bakermckenzie.com/en/-/media/corporate-real-estate/images/button_bm-re-website.png?rev=4d62714a7e41406fa3afdda17f9467a5&amp;sc_lang=en" descr="">
                    <a:hlinkClick xmlns:a="http://schemas.openxmlformats.org/drawingml/2006/main" r:id="R27bf181921f24b8e" tooltip="BM_RE"/>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https://resourcehub.bakermckenzie.com/en/-/media/corporate-real-estate/images/button_bm-re-website.png?rev=4d62714a7e41406fa3afdda17f9467a5&amp;sc_lang=en" descr="BM_RE"/>
                          <pic:cNvPicPr>
                            <a:picLocks noChangeAspect="1" noChangeArrowheads="1"/>
                          </pic:cNvPicPr>
                        </pic:nvPicPr>
                        <pic:blipFill>
                          <a:blip r:embed="R6066120378474f22"/>
                          <a:srcRect/>
                          <a:stretch>
                            <a:fillRect/>
                          </a:stretch>
                        </pic:blipFill>
                        <pic:spPr bwMode="auto">
                          <a:xfrm>
                            <a:off x="0" y="0"/>
                            <a:ext cx="1866899" cy="476250"/>
                          </a:xfrm>
                          <a:prstGeom prst="rect">
                            <a:avLst/>
                          </a:prstGeom>
                        </pic:spPr>
                      </pic:pic>
                    </a:graphicData>
                  </a:graphic>
                </wp:inline>
              </w:drawing>
            </w:r>
          </w:hyperlink>
        </w:p>
        <w:p>
          <w:pPr>
            <w:pStyle w:val="BodyText"/>
          </w:pPr>
          <w:r>
            <w:t xml:space="preserve"> </w:t>
          </w:r>
        </w:p>
      </w:sdtContent>
    </w:sdt>
    <w:p>
      <w:pPr>
        <w:pStyle w:val="Disclaimer"/>
      </w:pPr>
      <w:r>
        <w:t xml:space="preserve"> </w:t>
      </w:r>
    </w:p>
    <w:p>
      <w:pPr>
        <w:pStyle w:val="Disclaimer"/>
      </w:pPr>
      <w:r>
        <w:t xml:space="preserve">©Copyright © 2026 Baker &amp; McKenzie. All rights reserved. </w:t>
      </w:r>
      <w:r>
        <w:rPr>
          <w:b/>
        </w:rPr>
        <w:t xml:space="preserve">Ownership</w:t>
      </w:r>
      <w:r>
        <w:t xml:space="preserve">: This documentation and content (Content) is a proprietary resource owned exclusively by Baker McKenzie (meaning Baker &amp; McKenzie International and its member firms). The Content is protected under international copyright conventions. Use of this Content does not of itself create a contractual relationship, nor any attorney/client relationship, between Baker McKenzie and any person.</w:t>
      </w:r>
      <w:r>
        <w:rPr>
          <w:b/>
        </w:rPr>
        <w:t xml:space="preserve"> Non-reliance and exclusion</w:t>
      </w:r>
      <w:r>
        <w:t xml:space="preserve">: All Content is for informational purposes only and may not reflect the most current legal and regulatory developments. All summaries of the laws, regulations and practice are subject to change. The Content is not offered as legal or professional advice for any specific matter. It is not intended to be a substitute for reference to (and compliance with) the detailed provisions of applicable laws, rules, regulations or forms. Legal advice should always be sought before taking any action or refraining from taking any action based on any Content. Baker McKenzie and the editors and the contributing authors do not guarantee the accuracy of the Content and expressly disclaim any and all liability to any person in respect of the consequences of anything done or permitted to be done or omitted to be done wholly or partly in reliance upon the whole or any part of the Content. The Content may contain links to external websites and external websites may link to the Content. Baker McKenzie is not responsible for the content or operation of any such external sites and disclaims all liability, howsoever occurring, in respect of the content or operation of any such external websites. </w:t>
      </w:r>
      <w:r>
        <w:rPr>
          <w:b/>
        </w:rPr>
        <w:t xml:space="preserve">Attorney Advertising</w:t>
      </w:r>
      <w:r>
        <w:t xml:space="preserve">: This Content may qualify as “Attorney Advertising” requiring notice in some jurisdictions. To the extent that this Content may qualify as Attorney Advertising, PRIOR RESULTS DO NOT GUARANTEE A SIMILAR OUTCOME. </w:t>
      </w:r>
      <w:r>
        <w:rPr>
          <w:b/>
        </w:rPr>
        <w:t xml:space="preserve">Reproduction</w:t>
      </w:r>
      <w:r>
        <w:t xml:space="preserve">: Reproduction or copying of the Content on this Site without express written authorization is strictly prohibited.</w:t>
      </w:r>
    </w:p>
    <w:p w:rsidR="00E2036B" w:rsidP="00896739" w:rsidRDefault="00E2036B" w14:paraId="42DBF3BA" w14:textId="77777777">
      <w:pPr>
        <w:pStyle w:val="IndentedCopy"/>
        <w:spacing w:line="276" w:lineRule="auto"/>
        <w:ind w:left="0"/>
      </w:pPr>
    </w:p>
    <w:sectPr w:rsidR="00E2036B" w:rsidSect="003A3B65">
      <w:headerReference w:type="even" r:id="rId13"/>
      <w:headerReference w:type="default" r:id="rId14"/>
      <w:footerReference w:type="even" r:id="rId15"/>
      <w:footerReference w:type="default" r:id="rId16"/>
      <w:headerReference w:type="first" r:id="rId17"/>
      <w:footerReference w:type="first" r:id="rId18"/>
      <w:type w:val="continuous"/>
      <w:pgSz w:w="12240" w:h="15840"/>
      <w:pgMar w:top="1440" w:right="1800" w:bottom="1440" w:left="1440" w:header="115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B2CB2" w:rsidP="008407E2" w:rsidRDefault="008B2CB2" w14:paraId="6FEA254A" w14:textId="77777777">
      <w:pPr>
        <w:spacing w:after="0" w:line="240" w:lineRule="auto"/>
      </w:pPr>
      <w:r>
        <w:separator/>
      </w:r>
    </w:p>
  </w:endnote>
  <w:endnote w:type="continuationSeparator" w:id="0">
    <w:p w:rsidR="008B2CB2" w:rsidP="008407E2" w:rsidRDefault="008B2CB2" w14:paraId="5BD8B788"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old">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80811" w:rsidRDefault="00B80811" w14:paraId="16B332A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407E2" w:rsidP="00B10B36" w:rsidRDefault="008016C9" w14:paraId="1AC669BB" w14:textId="0968906B">
    <w:pPr>
      <w:pStyle w:val="Footertext"/>
      <w:spacing w:after="120"/>
    </w:pPr>
    <w:r>
      <w:t>www.</w:t>
    </w:r>
    <w:r w:rsidR="00507F6E">
      <w:t>bakermckenzie.com</w:t>
    </w:r>
    <w:sdt>
      <w:sdtPr>
        <w:id w:val="1753236663"/>
        <w:docPartObj>
          <w:docPartGallery w:val="Page Numbers (Bottom of Page)"/>
          <w:docPartUnique/>
        </w:docPartObj>
      </w:sdtPr>
      <w:sdtEndPr/>
      <w:sdtContent/>
    </w:sdt>
    <w:r w:rsidR="001E6FBB">
      <w:tab/>
      <w:t xml:space="preserve">Copyright </w:t>
    </w:r>
    <w:r w:rsidR="001E6FBB">
      <w:fldChar w:fldCharType="begin"/>
    </w:r>
    <w:r w:rsidR="001E6FBB">
      <w:instrText xml:space="preserve"> DATE  \@ "yyyy"  \* MERGEFORMAT </w:instrText>
    </w:r>
    <w:r w:rsidR="001E6FBB">
      <w:fldChar w:fldCharType="separate"/>
    </w:r>
    <w:r w:rsidR="000A4361">
      <w:rPr>
        <w:noProof/>
      </w:rPr>
      <w:t>2021</w:t>
    </w:r>
    <w:r w:rsidR="001E6FBB">
      <w:fldChar w:fldCharType="end"/>
    </w:r>
    <w:r w:rsidR="001E6FBB">
      <w:tab/>
    </w:r>
    <w:r w:rsidR="001E6FBB">
      <w:fldChar w:fldCharType="begin"/>
    </w:r>
    <w:r w:rsidR="001E6FBB">
      <w:instrText xml:space="preserve"> PAGE  \* Arabic  \* MERGEFORMAT </w:instrText>
    </w:r>
    <w:r w:rsidR="001E6FBB">
      <w:fldChar w:fldCharType="separate"/>
    </w:r>
    <w:r w:rsidR="001E6FBB">
      <w:rPr>
        <w:noProof/>
      </w:rPr>
      <w:t>2</w:t>
    </w:r>
    <w:r w:rsidR="001E6FBB">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B616C" w:rsidP="00FB54FC" w:rsidRDefault="00422BE8" w14:paraId="318D787C" w14:textId="43A4ACC3">
    <w:pPr>
      <w:pStyle w:val="Footertext"/>
      <w:spacing w:after="120"/>
    </w:pPr>
    <w:r w:rsidRPr="00422BE8">
      <w:t>https://resourcehub.bakermckenzie.com/en/resources/global-corporate-real-estate-guide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B2CB2" w:rsidP="008407E2" w:rsidRDefault="008B2CB2" w14:paraId="754A89C5" w14:textId="77777777">
      <w:pPr>
        <w:spacing w:after="0" w:line="240" w:lineRule="auto"/>
      </w:pPr>
      <w:r>
        <w:separator/>
      </w:r>
    </w:p>
  </w:footnote>
  <w:footnote w:type="continuationSeparator" w:id="0">
    <w:p w:rsidR="008B2CB2" w:rsidP="008407E2" w:rsidRDefault="008B2CB2" w14:paraId="1B95A0E4"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80811" w:rsidRDefault="00B80811" w14:paraId="30770147" w14:textId="77777777">
    <w:pPr>
      <w:pStyle w:val="Header"/>
    </w:pPr>
  </w:p>
</w:hdr>
</file>

<file path=word/header2.xml><?xml version="1.0" encoding="utf-8"?>
<w:hdr xmlns:a="http://schemas.openxmlformats.org/drawingml/2006/main" xmlns:pic="http://schemas.openxmlformats.org/drawingml/2006/picture" xmlns:a14="http://schemas.microsoft.com/office/drawing/2010/main" xmlns:asvg="http://schemas.microsoft.com/office/drawing/2016/SVG/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407E2" w:rsidP="00507F6E" w:rsidRDefault="002D177D" w14:paraId="702939D2" w14:textId="77777777">
    <w:pPr>
      <w:pStyle w:val="Header"/>
      <w:spacing w:after="600"/>
    </w:pPr>
    <w:r>
      <w:rPr>
        <w:noProof/>
      </w:rPr>
      <w:drawing>
        <wp:inline distT="0" distB="0" distL="0" distR="0" wp14:anchorId="01D4742B" wp14:editId="656E75E0">
          <wp:extent cx="1191555" cy="417044"/>
          <wp:effectExtent l="0" t="0" r="0" b="2540"/>
          <wp:docPr id="9" name="Graphi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phic 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191555" cy="417044"/>
                  </a:xfrm>
                  <a:prstGeom prst="rect">
                    <a:avLst/>
                  </a:prstGeom>
                </pic:spPr>
              </pic:pic>
            </a:graphicData>
          </a:graphic>
        </wp:inline>
      </w:drawing>
    </w:r>
  </w:p>
</w:hdr>
</file>

<file path=word/header3.xml><?xml version="1.0" encoding="utf-8"?>
<w:hdr xmlns:a="http://schemas.openxmlformats.org/drawingml/2006/main" xmlns:pic="http://schemas.openxmlformats.org/drawingml/2006/picture" xmlns:a14="http://schemas.microsoft.com/office/drawing/2010/main" xmlns:asvg="http://schemas.microsoft.com/office/drawing/2016/SVG/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57C25" w:rsidP="00B641CD" w:rsidRDefault="00B641CD" w14:paraId="60E40330" w14:textId="5E7575A5">
    <w:pPr>
      <w:pStyle w:val="Header"/>
      <w:spacing w:after="600"/>
    </w:pPr>
    <w:r>
      <w:rPr>
        <w:noProof/>
      </w:rPr>
      <w:drawing>
        <wp:inline distT="0" distB="0" distL="0" distR="0" wp14:anchorId="5B2F2B42" wp14:editId="146D8934">
          <wp:extent cx="1191555" cy="417044"/>
          <wp:effectExtent l="0" t="0" r="0" b="2540"/>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191555" cy="41704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BE2D0E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7722C46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C5EA08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D9FE79C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1A60A2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0CC2D8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B5E92D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8AADD0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06C65D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250A0F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6B37CD"/>
    <w:multiLevelType w:val="hybridMultilevel"/>
    <w:tmpl w:val="2D7E9C06"/>
    <w:lvl w:ilvl="0" w:tplc="6146226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1D82F34"/>
    <w:multiLevelType w:val="hybridMultilevel"/>
    <w:tmpl w:val="993E4862"/>
    <w:lvl w:ilvl="0" w:tplc="C51C6E7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EA7D0A"/>
    <w:multiLevelType w:val="multilevel"/>
    <w:tmpl w:val="1124EE02"/>
    <w:numStyleLink w:val="1aiA"/>
  </w:abstractNum>
  <w:abstractNum w:abstractNumId="13" w15:restartNumberingAfterBreak="0">
    <w:nsid w:val="357B74DD"/>
    <w:multiLevelType w:val="multilevel"/>
    <w:tmpl w:val="1124EE02"/>
    <w:styleLink w:val="1ai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upp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504C34DA"/>
    <w:multiLevelType w:val="hybridMultilevel"/>
    <w:tmpl w:val="E536E77A"/>
    <w:lvl w:ilvl="0" w:tplc="28E67952">
      <w:numFmt w:val="bullet"/>
      <w:lvlText w:val="-"/>
      <w:lvlJc w:val="left"/>
      <w:pPr>
        <w:ind w:left="410" w:hanging="360"/>
      </w:pPr>
      <w:rPr>
        <w:rFonts w:ascii="Calibri" w:eastAsiaTheme="minorHAnsi" w:hAnsi="Calibri" w:cs="Calibri" w:hint="default"/>
      </w:rPr>
    </w:lvl>
    <w:lvl w:ilvl="1" w:tplc="04090003" w:tentative="1">
      <w:start w:val="1"/>
      <w:numFmt w:val="bullet"/>
      <w:lvlText w:val="o"/>
      <w:lvlJc w:val="left"/>
      <w:pPr>
        <w:ind w:left="1130" w:hanging="360"/>
      </w:pPr>
      <w:rPr>
        <w:rFonts w:ascii="Courier New" w:hAnsi="Courier New" w:cs="Courier New" w:hint="default"/>
      </w:rPr>
    </w:lvl>
    <w:lvl w:ilvl="2" w:tplc="04090005" w:tentative="1">
      <w:start w:val="1"/>
      <w:numFmt w:val="bullet"/>
      <w:lvlText w:val=""/>
      <w:lvlJc w:val="left"/>
      <w:pPr>
        <w:ind w:left="1850" w:hanging="360"/>
      </w:pPr>
      <w:rPr>
        <w:rFonts w:ascii="Wingdings" w:hAnsi="Wingdings" w:hint="default"/>
      </w:rPr>
    </w:lvl>
    <w:lvl w:ilvl="3" w:tplc="04090001" w:tentative="1">
      <w:start w:val="1"/>
      <w:numFmt w:val="bullet"/>
      <w:lvlText w:val=""/>
      <w:lvlJc w:val="left"/>
      <w:pPr>
        <w:ind w:left="2570" w:hanging="360"/>
      </w:pPr>
      <w:rPr>
        <w:rFonts w:ascii="Symbol" w:hAnsi="Symbol" w:hint="default"/>
      </w:rPr>
    </w:lvl>
    <w:lvl w:ilvl="4" w:tplc="04090003" w:tentative="1">
      <w:start w:val="1"/>
      <w:numFmt w:val="bullet"/>
      <w:lvlText w:val="o"/>
      <w:lvlJc w:val="left"/>
      <w:pPr>
        <w:ind w:left="3290" w:hanging="360"/>
      </w:pPr>
      <w:rPr>
        <w:rFonts w:ascii="Courier New" w:hAnsi="Courier New" w:cs="Courier New" w:hint="default"/>
      </w:rPr>
    </w:lvl>
    <w:lvl w:ilvl="5" w:tplc="04090005" w:tentative="1">
      <w:start w:val="1"/>
      <w:numFmt w:val="bullet"/>
      <w:lvlText w:val=""/>
      <w:lvlJc w:val="left"/>
      <w:pPr>
        <w:ind w:left="4010" w:hanging="360"/>
      </w:pPr>
      <w:rPr>
        <w:rFonts w:ascii="Wingdings" w:hAnsi="Wingdings" w:hint="default"/>
      </w:rPr>
    </w:lvl>
    <w:lvl w:ilvl="6" w:tplc="04090001" w:tentative="1">
      <w:start w:val="1"/>
      <w:numFmt w:val="bullet"/>
      <w:lvlText w:val=""/>
      <w:lvlJc w:val="left"/>
      <w:pPr>
        <w:ind w:left="4730" w:hanging="360"/>
      </w:pPr>
      <w:rPr>
        <w:rFonts w:ascii="Symbol" w:hAnsi="Symbol" w:hint="default"/>
      </w:rPr>
    </w:lvl>
    <w:lvl w:ilvl="7" w:tplc="04090003" w:tentative="1">
      <w:start w:val="1"/>
      <w:numFmt w:val="bullet"/>
      <w:lvlText w:val="o"/>
      <w:lvlJc w:val="left"/>
      <w:pPr>
        <w:ind w:left="5450" w:hanging="360"/>
      </w:pPr>
      <w:rPr>
        <w:rFonts w:ascii="Courier New" w:hAnsi="Courier New" w:cs="Courier New" w:hint="default"/>
      </w:rPr>
    </w:lvl>
    <w:lvl w:ilvl="8" w:tplc="04090005" w:tentative="1">
      <w:start w:val="1"/>
      <w:numFmt w:val="bullet"/>
      <w:lvlText w:val=""/>
      <w:lvlJc w:val="left"/>
      <w:pPr>
        <w:ind w:left="6170" w:hanging="360"/>
      </w:pPr>
      <w:rPr>
        <w:rFonts w:ascii="Wingdings" w:hAnsi="Wingdings" w:hint="default"/>
      </w:rPr>
    </w:lvl>
  </w:abstractNum>
  <w:abstractNum w:abstractNumId="15" w15:restartNumberingAfterBreak="0">
    <w:nsid w:val="6A187578"/>
    <w:multiLevelType w:val="hybridMultilevel"/>
    <w:tmpl w:val="4BF2E3EC"/>
    <w:lvl w:ilvl="0" w:tplc="727A457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2880D1C"/>
    <w:multiLevelType w:val="hybridMultilevel"/>
    <w:tmpl w:val="F14EC786"/>
    <w:lvl w:ilvl="0" w:tplc="939A22C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4437C54"/>
    <w:multiLevelType w:val="hybridMultilevel"/>
    <w:tmpl w:val="51ACB4C8"/>
    <w:lvl w:ilvl="0" w:tplc="CEB45F4C">
      <w:numFmt w:val="bullet"/>
      <w:lvlText w:val="-"/>
      <w:lvlJc w:val="left"/>
      <w:pPr>
        <w:ind w:left="1512" w:hanging="360"/>
      </w:pPr>
      <w:rPr>
        <w:rFonts w:ascii="Arial" w:eastAsiaTheme="minorHAnsi" w:hAnsi="Arial" w:cs="Aria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num w:numId="1">
    <w:abstractNumId w:val="15"/>
  </w:num>
  <w:num w:numId="2">
    <w:abstractNumId w:val="16"/>
  </w:num>
  <w:num w:numId="3">
    <w:abstractNumId w:val="10"/>
  </w:num>
  <w:num w:numId="4">
    <w:abstractNumId w:val="11"/>
  </w:num>
  <w:num w:numId="5">
    <w:abstractNumId w:val="17"/>
  </w:num>
  <w:num w:numId="6">
    <w:abstractNumId w:val="14"/>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3"/>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873"/>
    <w:rsid w:val="00004322"/>
    <w:rsid w:val="00025B2B"/>
    <w:rsid w:val="00035AF7"/>
    <w:rsid w:val="000634B9"/>
    <w:rsid w:val="00077F75"/>
    <w:rsid w:val="0008479E"/>
    <w:rsid w:val="00093245"/>
    <w:rsid w:val="000A4361"/>
    <w:rsid w:val="000B778F"/>
    <w:rsid w:val="000C2EDD"/>
    <w:rsid w:val="000E0732"/>
    <w:rsid w:val="00161B4A"/>
    <w:rsid w:val="001802A0"/>
    <w:rsid w:val="00197B2F"/>
    <w:rsid w:val="001A2D30"/>
    <w:rsid w:val="001D13A1"/>
    <w:rsid w:val="001E6FBB"/>
    <w:rsid w:val="001F6551"/>
    <w:rsid w:val="00237F85"/>
    <w:rsid w:val="00284035"/>
    <w:rsid w:val="002A08A4"/>
    <w:rsid w:val="002A465B"/>
    <w:rsid w:val="002C6D29"/>
    <w:rsid w:val="002D177D"/>
    <w:rsid w:val="002E5521"/>
    <w:rsid w:val="0030141F"/>
    <w:rsid w:val="00313CC9"/>
    <w:rsid w:val="0035406A"/>
    <w:rsid w:val="003749B6"/>
    <w:rsid w:val="003A0E6D"/>
    <w:rsid w:val="003A3B65"/>
    <w:rsid w:val="003F41D1"/>
    <w:rsid w:val="00405CB3"/>
    <w:rsid w:val="00421ABE"/>
    <w:rsid w:val="00422BE7"/>
    <w:rsid w:val="00422BE8"/>
    <w:rsid w:val="004340A6"/>
    <w:rsid w:val="00471952"/>
    <w:rsid w:val="00485DE4"/>
    <w:rsid w:val="00490F49"/>
    <w:rsid w:val="004A33CE"/>
    <w:rsid w:val="004B616C"/>
    <w:rsid w:val="004C40D5"/>
    <w:rsid w:val="004E2B13"/>
    <w:rsid w:val="00507F6E"/>
    <w:rsid w:val="00556FAB"/>
    <w:rsid w:val="005633FE"/>
    <w:rsid w:val="00574B1A"/>
    <w:rsid w:val="005A12EF"/>
    <w:rsid w:val="005C2C83"/>
    <w:rsid w:val="005E300E"/>
    <w:rsid w:val="006158EB"/>
    <w:rsid w:val="00636700"/>
    <w:rsid w:val="0066374E"/>
    <w:rsid w:val="00670DE9"/>
    <w:rsid w:val="00682D60"/>
    <w:rsid w:val="006906AD"/>
    <w:rsid w:val="006B20FF"/>
    <w:rsid w:val="006C4214"/>
    <w:rsid w:val="006C53B8"/>
    <w:rsid w:val="006E4DBD"/>
    <w:rsid w:val="006F4E12"/>
    <w:rsid w:val="00704DE8"/>
    <w:rsid w:val="00725109"/>
    <w:rsid w:val="0073160D"/>
    <w:rsid w:val="007336B4"/>
    <w:rsid w:val="007541FC"/>
    <w:rsid w:val="00755240"/>
    <w:rsid w:val="00761F2A"/>
    <w:rsid w:val="00764CD4"/>
    <w:rsid w:val="00773EA0"/>
    <w:rsid w:val="0079515F"/>
    <w:rsid w:val="007B5830"/>
    <w:rsid w:val="007F060E"/>
    <w:rsid w:val="008016C9"/>
    <w:rsid w:val="008020A8"/>
    <w:rsid w:val="008407E2"/>
    <w:rsid w:val="008816BB"/>
    <w:rsid w:val="00896739"/>
    <w:rsid w:val="008B2CB2"/>
    <w:rsid w:val="008B4BE2"/>
    <w:rsid w:val="008D1980"/>
    <w:rsid w:val="008E0D40"/>
    <w:rsid w:val="008E0D74"/>
    <w:rsid w:val="0093444D"/>
    <w:rsid w:val="0094721F"/>
    <w:rsid w:val="0097103A"/>
    <w:rsid w:val="0098047C"/>
    <w:rsid w:val="00994FC4"/>
    <w:rsid w:val="009B5183"/>
    <w:rsid w:val="009D1541"/>
    <w:rsid w:val="009E50EE"/>
    <w:rsid w:val="00A04E0F"/>
    <w:rsid w:val="00A14B44"/>
    <w:rsid w:val="00A17914"/>
    <w:rsid w:val="00A2157A"/>
    <w:rsid w:val="00A3660C"/>
    <w:rsid w:val="00A4620B"/>
    <w:rsid w:val="00A5071B"/>
    <w:rsid w:val="00A53B7A"/>
    <w:rsid w:val="00A7348F"/>
    <w:rsid w:val="00A768A2"/>
    <w:rsid w:val="00A966E5"/>
    <w:rsid w:val="00AC1559"/>
    <w:rsid w:val="00AD1164"/>
    <w:rsid w:val="00B10B36"/>
    <w:rsid w:val="00B641CD"/>
    <w:rsid w:val="00B665B5"/>
    <w:rsid w:val="00B750A4"/>
    <w:rsid w:val="00B80811"/>
    <w:rsid w:val="00B832FC"/>
    <w:rsid w:val="00BA085E"/>
    <w:rsid w:val="00BC7873"/>
    <w:rsid w:val="00BD03CF"/>
    <w:rsid w:val="00BF0A32"/>
    <w:rsid w:val="00C303AC"/>
    <w:rsid w:val="00C45D4B"/>
    <w:rsid w:val="00C637FE"/>
    <w:rsid w:val="00C86C26"/>
    <w:rsid w:val="00C93D03"/>
    <w:rsid w:val="00CB14D1"/>
    <w:rsid w:val="00CC447A"/>
    <w:rsid w:val="00CD11B4"/>
    <w:rsid w:val="00CE6CE2"/>
    <w:rsid w:val="00D05710"/>
    <w:rsid w:val="00D219D6"/>
    <w:rsid w:val="00D31F26"/>
    <w:rsid w:val="00D3657B"/>
    <w:rsid w:val="00D41754"/>
    <w:rsid w:val="00D43357"/>
    <w:rsid w:val="00D9752D"/>
    <w:rsid w:val="00DA1306"/>
    <w:rsid w:val="00DD4DE7"/>
    <w:rsid w:val="00DF569D"/>
    <w:rsid w:val="00E00030"/>
    <w:rsid w:val="00E02C92"/>
    <w:rsid w:val="00E2036B"/>
    <w:rsid w:val="00E442D0"/>
    <w:rsid w:val="00E57C25"/>
    <w:rsid w:val="00E8516D"/>
    <w:rsid w:val="00E925A7"/>
    <w:rsid w:val="00E96398"/>
    <w:rsid w:val="00EB04B9"/>
    <w:rsid w:val="00EB4E6C"/>
    <w:rsid w:val="00ED197F"/>
    <w:rsid w:val="00F243E0"/>
    <w:rsid w:val="00F90D69"/>
    <w:rsid w:val="00FA787A"/>
    <w:rsid w:val="00FB54FC"/>
    <w:rsid w:val="00FC6796"/>
    <w:rsid w:val="00FE2888"/>
    <w:rsid w:val="00FE2D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1F7020"/>
  <w15:chartTrackingRefBased/>
  <w15:docId w15:val="{11264F3B-CA44-0D43-9F09-917800D12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semiHidden="1" w:unhideWhenUsed="1" w:qFormat="1"/>
    <w:lsdException w:name="Emphasis" w:uiPriority="20"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semiHidden="1" w:unhideWhenUsed="1" w:qFormat="1"/>
    <w:lsdException w:name="Intense Quote" w:uiPriority="30" w:semiHidden="1"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semiHidden="1" w:unhideWhenUsed="1" w:qFormat="1"/>
    <w:lsdException w:name="Intense Emphasis" w:uiPriority="21" w:semiHidden="1" w:unhideWhenUsed="1" w:qFormat="1"/>
    <w:lsdException w:name="Subtle Reference" w:uiPriority="31" w:semiHidden="1" w:unhideWhenUsed="1" w:qFormat="1"/>
    <w:lsdException w:name="Intense Reference" w:uiPriority="32" w:semiHidden="1" w:unhideWhenUsed="1" w:qFormat="1"/>
    <w:lsdException w:name="Book Title" w:uiPriority="33" w:semiHidden="1" w:unhideWhenUsed="1"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nhideWhenUsed/>
    <w:qFormat/>
    <w:rsid w:val="00B750A4"/>
    <w:pPr>
      <w:spacing w:after="240" w:line="276" w:lineRule="auto"/>
    </w:pPr>
    <w:rPr>
      <w:rFonts w:ascii="Arial" w:hAnsi="Arial"/>
      <w:sz w:val="20"/>
    </w:rPr>
  </w:style>
  <w:style w:type="paragraph" w:styleId="Heading1">
    <w:name w:val="heading 1"/>
    <w:basedOn w:val="Normal"/>
    <w:next w:val="Normal"/>
    <w:link w:val="Heading1Char"/>
    <w:uiPriority w:val="9"/>
    <w:unhideWhenUsed/>
    <w:qFormat/>
    <w:rsid w:val="00FE2D8A"/>
    <w:pPr>
      <w:keepNext/>
      <w:keepLines/>
      <w:spacing w:before="240" w:line="240" w:lineRule="auto"/>
      <w:outlineLvl w:val="0"/>
    </w:pPr>
    <w:rPr>
      <w:rFonts w:cs="Arial" w:eastAsiaTheme="majorEastAsia"/>
      <w:b/>
      <w:color w:val="AE132A"/>
      <w:sz w:val="32"/>
      <w:szCs w:val="32"/>
    </w:rPr>
  </w:style>
  <w:style w:type="paragraph" w:styleId="Heading2">
    <w:name w:val="heading 2"/>
    <w:basedOn w:val="Normal"/>
    <w:next w:val="Normal"/>
    <w:link w:val="Heading2Char"/>
    <w:uiPriority w:val="9"/>
    <w:unhideWhenUsed/>
    <w:qFormat/>
    <w:rsid w:val="00FE2D8A"/>
    <w:pPr>
      <w:keepNext/>
      <w:keepLines/>
      <w:spacing w:before="240" w:after="320" w:line="240" w:lineRule="auto"/>
      <w:outlineLvl w:val="1"/>
    </w:pPr>
    <w:rPr>
      <w:rFonts w:cs="Arial" w:eastAsiaTheme="majorEastAsia"/>
      <w:color w:val="000000" w:themeColor="text1"/>
      <w:sz w:val="32"/>
      <w:szCs w:val="32"/>
    </w:rPr>
  </w:style>
  <w:style w:type="paragraph" w:styleId="Heading3">
    <w:name w:val="heading 3"/>
    <w:basedOn w:val="Heading2"/>
    <w:next w:val="Normal"/>
    <w:link w:val="Heading3Char"/>
    <w:uiPriority w:val="9"/>
    <w:unhideWhenUsed/>
    <w:qFormat/>
    <w:rsid w:val="00FE2D8A"/>
    <w:pPr>
      <w:outlineLvl w:val="2"/>
    </w:pPr>
    <w:rPr>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PlaceholderText">
    <w:name w:val="Placeholder Text"/>
    <w:basedOn w:val="DefaultParagraphFont"/>
    <w:uiPriority w:val="99"/>
    <w:unhideWhenUsed/>
    <w:rsid w:val="00EB4E6C"/>
    <w:rPr>
      <w:color w:val="808080"/>
    </w:rPr>
  </w:style>
  <w:style w:type="paragraph" w:styleId="IndentedCopy" w:customStyle="1">
    <w:name w:val="Indented Copy"/>
    <w:qFormat/>
    <w:rsid w:val="009B5183"/>
    <w:pPr>
      <w:spacing w:before="140" w:after="140" w:line="360" w:lineRule="auto"/>
      <w:ind w:left="1008"/>
    </w:pPr>
    <w:rPr>
      <w:rFonts w:ascii="Arial" w:hAnsi="Arial" w:cs="Arial"/>
      <w:sz w:val="20"/>
      <w:szCs w:val="20"/>
    </w:rPr>
  </w:style>
  <w:style w:type="paragraph" w:styleId="Header">
    <w:name w:val="header"/>
    <w:basedOn w:val="Normal"/>
    <w:link w:val="HeaderChar"/>
    <w:uiPriority w:val="99"/>
    <w:unhideWhenUsed/>
    <w:rsid w:val="008407E2"/>
    <w:pPr>
      <w:tabs>
        <w:tab w:val="center" w:pos="4680"/>
        <w:tab w:val="right" w:pos="9360"/>
      </w:tabs>
      <w:spacing w:after="0" w:line="240" w:lineRule="auto"/>
    </w:pPr>
  </w:style>
  <w:style w:type="character" w:styleId="HeaderChar" w:customStyle="1">
    <w:name w:val="Header Char"/>
    <w:basedOn w:val="DefaultParagraphFont"/>
    <w:link w:val="Header"/>
    <w:uiPriority w:val="99"/>
    <w:rsid w:val="00B750A4"/>
    <w:rPr>
      <w:rFonts w:ascii="Arial" w:hAnsi="Arial"/>
      <w:sz w:val="20"/>
    </w:rPr>
  </w:style>
  <w:style w:type="paragraph" w:styleId="Footer">
    <w:name w:val="footer"/>
    <w:basedOn w:val="Normal"/>
    <w:link w:val="FooterChar"/>
    <w:uiPriority w:val="99"/>
    <w:unhideWhenUsed/>
    <w:rsid w:val="008407E2"/>
    <w:pPr>
      <w:tabs>
        <w:tab w:val="center" w:pos="4680"/>
        <w:tab w:val="right" w:pos="9360"/>
      </w:tabs>
      <w:spacing w:after="0" w:line="240" w:lineRule="auto"/>
    </w:pPr>
  </w:style>
  <w:style w:type="character" w:styleId="FooterChar" w:customStyle="1">
    <w:name w:val="Footer Char"/>
    <w:basedOn w:val="DefaultParagraphFont"/>
    <w:link w:val="Footer"/>
    <w:uiPriority w:val="99"/>
    <w:rsid w:val="00B750A4"/>
    <w:rPr>
      <w:rFonts w:ascii="Arial" w:hAnsi="Arial"/>
      <w:sz w:val="20"/>
    </w:rPr>
  </w:style>
  <w:style w:type="paragraph" w:styleId="Region" w:customStyle="1">
    <w:name w:val="Region"/>
    <w:next w:val="IndentedCopy"/>
    <w:qFormat/>
    <w:rsid w:val="00994FC4"/>
    <w:pPr>
      <w:spacing w:before="360" w:after="0"/>
      <w:ind w:left="1008"/>
    </w:pPr>
    <w:rPr>
      <w:rFonts w:ascii="Arial" w:hAnsi="Arial" w:cs="Arial"/>
      <w:b/>
      <w:color w:val="AD122A"/>
      <w:sz w:val="28"/>
      <w:szCs w:val="28"/>
    </w:rPr>
  </w:style>
  <w:style w:type="table" w:styleId="TableGrid">
    <w:name w:val="Table Grid"/>
    <w:basedOn w:val="TableNormal"/>
    <w:uiPriority w:val="39"/>
    <w:rsid w:val="006C421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Spacing">
    <w:name w:val="No Spacing"/>
    <w:uiPriority w:val="1"/>
    <w:unhideWhenUsed/>
    <w:qFormat/>
    <w:rsid w:val="006C4214"/>
    <w:pPr>
      <w:spacing w:after="0" w:line="240" w:lineRule="auto"/>
    </w:pPr>
  </w:style>
  <w:style w:type="paragraph" w:styleId="Table" w:customStyle="1">
    <w:name w:val="Table"/>
    <w:qFormat/>
    <w:rsid w:val="0066374E"/>
    <w:rPr>
      <w:rFonts w:ascii="Arial" w:hAnsi="Arial" w:cs="Arial"/>
      <w:sz w:val="20"/>
      <w:szCs w:val="20"/>
    </w:rPr>
  </w:style>
  <w:style w:type="paragraph" w:styleId="ListParagraph">
    <w:name w:val="List Paragraph"/>
    <w:basedOn w:val="Normal"/>
    <w:uiPriority w:val="34"/>
    <w:unhideWhenUsed/>
    <w:qFormat/>
    <w:rsid w:val="008D1980"/>
    <w:pPr>
      <w:spacing w:line="360" w:lineRule="auto"/>
      <w:ind w:left="720"/>
      <w:contextualSpacing/>
    </w:pPr>
  </w:style>
  <w:style w:type="paragraph" w:styleId="Body" w:customStyle="1">
    <w:name w:val="Body"/>
    <w:qFormat/>
    <w:rsid w:val="00A14B44"/>
    <w:pPr>
      <w:spacing w:before="60" w:after="0"/>
    </w:pPr>
    <w:rPr>
      <w:rFonts w:ascii="Arial" w:hAnsi="Arial" w:cs="Arial"/>
      <w:sz w:val="20"/>
      <w:szCs w:val="20"/>
    </w:rPr>
  </w:style>
  <w:style w:type="paragraph" w:styleId="CoverDate" w:customStyle="1">
    <w:name w:val="CoverDate"/>
    <w:qFormat/>
    <w:rsid w:val="00A14B44"/>
    <w:pPr>
      <w:spacing w:before="240" w:after="0"/>
    </w:pPr>
    <w:rPr>
      <w:rFonts w:ascii="Arial" w:hAnsi="Arial" w:cs="Arial"/>
      <w:sz w:val="24"/>
      <w:szCs w:val="24"/>
    </w:rPr>
  </w:style>
  <w:style w:type="paragraph" w:styleId="Footertext" w:customStyle="1">
    <w:name w:val="Footer text"/>
    <w:basedOn w:val="Normal"/>
    <w:qFormat/>
    <w:rsid w:val="000E0732"/>
    <w:pPr>
      <w:tabs>
        <w:tab w:val="center" w:pos="4680"/>
        <w:tab w:val="right" w:pos="9360"/>
      </w:tabs>
      <w:spacing w:after="0" w:line="240" w:lineRule="auto"/>
    </w:pPr>
    <w:rPr>
      <w:rFonts w:cs="Arial"/>
      <w:bCs/>
      <w:color w:val="AE132A"/>
      <w:sz w:val="16"/>
      <w:szCs w:val="16"/>
    </w:rPr>
  </w:style>
  <w:style w:type="paragraph" w:styleId="TOCHeading">
    <w:name w:val="TOC Heading"/>
    <w:next w:val="Normal"/>
    <w:uiPriority w:val="39"/>
    <w:unhideWhenUsed/>
    <w:qFormat/>
    <w:rsid w:val="00FE2D8A"/>
    <w:rPr>
      <w:rFonts w:ascii="Arial" w:hAnsi="Arial" w:eastAsiaTheme="majorEastAsia" w:cstheme="majorBidi"/>
      <w:b/>
      <w:color w:val="AE132A"/>
      <w:sz w:val="32"/>
      <w:szCs w:val="32"/>
    </w:rPr>
  </w:style>
  <w:style w:type="character" w:styleId="Heading1Char" w:customStyle="1">
    <w:name w:val="Heading 1 Char"/>
    <w:basedOn w:val="DefaultParagraphFont"/>
    <w:link w:val="Heading1"/>
    <w:uiPriority w:val="9"/>
    <w:rsid w:val="00B750A4"/>
    <w:rPr>
      <w:rFonts w:ascii="Arial" w:hAnsi="Arial" w:cs="Arial" w:eastAsiaTheme="majorEastAsia"/>
      <w:b/>
      <w:color w:val="AE132A"/>
      <w:sz w:val="32"/>
      <w:szCs w:val="32"/>
    </w:rPr>
  </w:style>
  <w:style w:type="paragraph" w:styleId="TOC1">
    <w:name w:val="toc 1"/>
    <w:basedOn w:val="Normal"/>
    <w:next w:val="Normal"/>
    <w:autoRedefine/>
    <w:uiPriority w:val="39"/>
    <w:unhideWhenUsed/>
    <w:rsid w:val="00FE2D8A"/>
    <w:pPr>
      <w:spacing w:after="100"/>
    </w:pPr>
    <w:rPr>
      <w:sz w:val="16"/>
    </w:rPr>
  </w:style>
  <w:style w:type="character" w:styleId="Hyperlink">
    <w:name w:val="Hyperlink"/>
    <w:basedOn w:val="DefaultParagraphFont"/>
    <w:uiPriority w:val="99"/>
    <w:unhideWhenUsed/>
    <w:rsid w:val="008020A8"/>
    <w:rPr>
      <w:color w:val="EE3135" w:themeColor="hyperlink"/>
      <w:u w:val="single"/>
    </w:rPr>
  </w:style>
  <w:style w:type="paragraph" w:styleId="Content" w:customStyle="1">
    <w:name w:val="Content"/>
    <w:link w:val="ContentChar"/>
    <w:qFormat/>
    <w:rsid w:val="003A3B65"/>
    <w:pPr>
      <w:tabs>
        <w:tab w:val="right" w:pos="9350"/>
      </w:tabs>
    </w:pPr>
    <w:rPr>
      <w:rFonts w:ascii="Arial" w:hAnsi="Arial"/>
      <w:sz w:val="20"/>
    </w:rPr>
  </w:style>
  <w:style w:type="character" w:styleId="ContentChar" w:customStyle="1">
    <w:name w:val="Content Char"/>
    <w:basedOn w:val="DefaultParagraphFont"/>
    <w:link w:val="Content"/>
    <w:rsid w:val="003A3B65"/>
    <w:rPr>
      <w:rFonts w:ascii="Arial" w:hAnsi="Arial"/>
      <w:sz w:val="20"/>
    </w:rPr>
  </w:style>
  <w:style w:type="character" w:styleId="Heading2Char" w:customStyle="1">
    <w:name w:val="Heading 2 Char"/>
    <w:basedOn w:val="DefaultParagraphFont"/>
    <w:link w:val="Heading2"/>
    <w:uiPriority w:val="9"/>
    <w:rsid w:val="00B750A4"/>
    <w:rPr>
      <w:rFonts w:ascii="Arial" w:hAnsi="Arial" w:cs="Arial" w:eastAsiaTheme="majorEastAsia"/>
      <w:color w:val="000000" w:themeColor="text1"/>
      <w:sz w:val="32"/>
      <w:szCs w:val="32"/>
    </w:rPr>
  </w:style>
  <w:style w:type="character" w:styleId="Heading3Char" w:customStyle="1">
    <w:name w:val="Heading 3 Char"/>
    <w:basedOn w:val="DefaultParagraphFont"/>
    <w:link w:val="Heading3"/>
    <w:uiPriority w:val="9"/>
    <w:rsid w:val="00B750A4"/>
    <w:rPr>
      <w:rFonts w:ascii="Arial" w:hAnsi="Arial" w:cs="Arial" w:eastAsiaTheme="majorEastAsia"/>
      <w:color w:val="000000" w:themeColor="text1"/>
      <w:sz w:val="24"/>
      <w:szCs w:val="24"/>
    </w:rPr>
  </w:style>
  <w:style w:type="paragraph" w:styleId="Title">
    <w:name w:val="Title"/>
    <w:basedOn w:val="Normal"/>
    <w:next w:val="Normal"/>
    <w:link w:val="TitleChar"/>
    <w:autoRedefine/>
    <w:uiPriority w:val="10"/>
    <w:unhideWhenUsed/>
    <w:qFormat/>
    <w:rsid w:val="00FE2D8A"/>
    <w:pPr>
      <w:spacing w:before="840" w:after="0" w:line="240" w:lineRule="auto"/>
      <w:contextualSpacing/>
    </w:pPr>
    <w:rPr>
      <w:rFonts w:ascii="Arial Bold" w:hAnsi="Arial Bold" w:eastAsiaTheme="majorEastAsia" w:cstheme="majorBidi"/>
      <w:b/>
      <w:kern w:val="28"/>
      <w:sz w:val="44"/>
      <w:szCs w:val="56"/>
    </w:rPr>
  </w:style>
  <w:style w:type="character" w:styleId="TitleChar" w:customStyle="1">
    <w:name w:val="Title Char"/>
    <w:basedOn w:val="DefaultParagraphFont"/>
    <w:link w:val="Title"/>
    <w:uiPriority w:val="10"/>
    <w:rsid w:val="00B750A4"/>
    <w:rPr>
      <w:rFonts w:ascii="Arial Bold" w:hAnsi="Arial Bold" w:eastAsiaTheme="majorEastAsia" w:cstheme="majorBidi"/>
      <w:b/>
      <w:kern w:val="28"/>
      <w:sz w:val="44"/>
      <w:szCs w:val="56"/>
    </w:rPr>
  </w:style>
  <w:style w:type="paragraph" w:styleId="Subtitle">
    <w:name w:val="Subtitle"/>
    <w:basedOn w:val="Heading1"/>
    <w:next w:val="Normal"/>
    <w:link w:val="SubtitleChar"/>
    <w:uiPriority w:val="11"/>
    <w:unhideWhenUsed/>
    <w:qFormat/>
    <w:rsid w:val="00A2157A"/>
    <w:pPr>
      <w:numPr>
        <w:ilvl w:val="1"/>
      </w:numPr>
      <w:spacing w:before="2400" w:after="480"/>
    </w:pPr>
    <w:rPr>
      <w:rFonts w:eastAsiaTheme="minorEastAsia"/>
      <w:b w:val="0"/>
      <w:color w:val="000000" w:themeColor="text1"/>
      <w:sz w:val="44"/>
    </w:rPr>
  </w:style>
  <w:style w:type="character" w:styleId="SubtitleChar" w:customStyle="1">
    <w:name w:val="Subtitle Char"/>
    <w:basedOn w:val="DefaultParagraphFont"/>
    <w:link w:val="Subtitle"/>
    <w:uiPriority w:val="11"/>
    <w:rsid w:val="00A2157A"/>
    <w:rPr>
      <w:rFonts w:ascii="Arial" w:hAnsi="Arial" w:cs="Arial" w:eastAsiaTheme="minorEastAsia"/>
      <w:color w:val="000000" w:themeColor="text1"/>
      <w:sz w:val="44"/>
      <w:szCs w:val="32"/>
    </w:rPr>
  </w:style>
  <w:style w:type="paragraph" w:styleId="BodyText">
    <w:name w:val="Body Text"/>
    <w:basedOn w:val="Normal"/>
    <w:link w:val="BodyTextChar"/>
    <w:uiPriority w:val="99"/>
    <w:unhideWhenUsed/>
    <w:rsid w:val="00FE2D8A"/>
    <w:pPr>
      <w:spacing w:line="360" w:lineRule="auto"/>
    </w:pPr>
  </w:style>
  <w:style w:type="character" w:styleId="BodyTextChar" w:customStyle="1">
    <w:name w:val="Body Text Char"/>
    <w:basedOn w:val="DefaultParagraphFont"/>
    <w:link w:val="BodyText"/>
    <w:uiPriority w:val="99"/>
    <w:rsid w:val="00B750A4"/>
    <w:rPr>
      <w:rFonts w:ascii="Arial" w:hAnsi="Arial"/>
      <w:sz w:val="20"/>
    </w:rPr>
  </w:style>
  <w:style w:type="paragraph" w:styleId="Disclaimer" w:customStyle="1">
    <w:name w:val="Disclaimer"/>
    <w:basedOn w:val="BodyText"/>
    <w:qFormat/>
    <w:rsid w:val="000E0732"/>
    <w:rPr>
      <w:sz w:val="16"/>
    </w:rPr>
  </w:style>
  <w:style w:type="numbering" w:styleId="1aiA" w:customStyle="1">
    <w:name w:val="1. / (a) / (i) / (A)"/>
    <w:uiPriority w:val="99"/>
    <w:rsid w:val="00DA1306"/>
    <w:pPr>
      <w:numPr>
        <w:numId w:val="1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697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tyles" Target="styles.xml" Id="rId7" /><Relationship Type="http://schemas.openxmlformats.org/officeDocument/2006/relationships/image" Target="media/image1.png" Id="rId12" /><Relationship Type="http://schemas.openxmlformats.org/officeDocument/2006/relationships/header" Target="header3.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glossaryDocument" Target="glossary/document.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1.xml" Id="rId15" /><Relationship Type="http://schemas.openxmlformats.org/officeDocument/2006/relationships/footnotes" Target="foot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eader" Target="header2.xml" Id="rId14" /><Relationship Type="http://schemas.openxmlformats.org/officeDocument/2006/relationships/image" Target="/media/image.jpg" Id="R2c125d77027b4062" /><Relationship Type="http://schemas.openxmlformats.org/officeDocument/2006/relationships/hyperlink" Target="https://www.bakermckenzie.com/en/people/g/garciagarza-juan-bernardo" TargetMode="External" Id="Rbaadcb863d944dc1" /><Relationship Type="http://schemas.openxmlformats.org/officeDocument/2006/relationships/image" Target="/media/image2.jpg" Id="Rcbc79af2e3a54734" /><Relationship Type="http://schemas.openxmlformats.org/officeDocument/2006/relationships/hyperlink" Target="https://resourcehub.bakermckenzie.com/en/-/media/corporate-real-estate/files/global-corporate-real-estate-guide-2023_05032024_v2.pdf?rev=f09603bb6fda43e7b6b780a86ff11c1a&amp;sc_lang=en" TargetMode="External" Id="Rde140f4490964718" /><Relationship Type="http://schemas.openxmlformats.org/officeDocument/2006/relationships/image" Target="/media/image3.png" Id="R52fcb5c72dad4404" /><Relationship Type="http://schemas.openxmlformats.org/officeDocument/2006/relationships/hyperlink" Target="https://resourcehub.bakermckenzie.com/en/-/media/corporate-real-estate/files/global-corporate-real-estate-guide-2023--authors05032024-v2.pdf?rev=5b16005c59304b059a710a33a3b7d3c9&amp;sc_lang=en" TargetMode="External" Id="R9480e66bde494f3f" /><Relationship Type="http://schemas.openxmlformats.org/officeDocument/2006/relationships/image" Target="/media/image4.png" Id="R6b894e64d8524b09" /><Relationship Type="http://schemas.openxmlformats.org/officeDocument/2006/relationships/hyperlink" Target="https://insightplus.bakermckenzie.com/bm/real-estate_1" TargetMode="External" Id="Rd701aeac2180499a" /><Relationship Type="http://schemas.openxmlformats.org/officeDocument/2006/relationships/image" Target="/media/image5.png" Id="Rf047a394dace4367" /><Relationship Type="http://schemas.openxmlformats.org/officeDocument/2006/relationships/hyperlink" Target="http://www.bakermckenzie.com/en/expertise/practices/real-estate" TargetMode="External" Id="R27bf181921f24b8e" /><Relationship Type="http://schemas.openxmlformats.org/officeDocument/2006/relationships/image" Target="/media/image6.png" Id="R6066120378474f22" /></Relationships>
</file>

<file path=word/_rels/head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518B4A5F-AA5F-476D-882A-0A7EA0CE4B65}"/>
      </w:docPartPr>
      <w:docPartBody>
        <w:p w:rsidR="00874855" w:rsidRDefault="00221808">
          <w:r w:rsidRPr="0077679D">
            <w:rPr>
              <w:rStyle w:val="PlaceholderText"/>
            </w:rPr>
            <w:t>Click or tap here to enter text.</w:t>
          </w:r>
        </w:p>
      </w:docPartBody>
    </w:docPart>
    <w:docPart>
      <w:docPartPr>
        <w:name w:val="DefaultPlaceholder_-1854013435"/>
        <w:category>
          <w:name w:val="General"/>
          <w:gallery w:val="placeholder"/>
        </w:category>
        <w:types>
          <w:type w:val="bbPlcHdr"/>
        </w:types>
        <w:behaviors>
          <w:behavior w:val="content"/>
        </w:behaviors>
        <w:guid w:val="{1008D278-3E65-46D3-892E-B56CE25806F8}"/>
      </w:docPartPr>
      <w:docPartBody>
        <w:p w:rsidR="00874855" w:rsidRDefault="00221808">
          <w:r w:rsidRPr="0077679D">
            <w:rPr>
              <w:rStyle w:val="PlaceholderText"/>
            </w:rPr>
            <w:t>Enter any content that you want to repeat, including other content controls. You can also insert this control around table rows in order to repeat parts of a table.</w:t>
          </w:r>
        </w:p>
      </w:docPartBody>
    </w:docPart>
    <w:docPart>
      <w:docPartPr>
        <w:name w:val="E9C6504D96B0448F953762ABA604ABB6"/>
        <w:category>
          <w:name w:val="General"/>
          <w:gallery w:val="placeholder"/>
        </w:category>
        <w:types>
          <w:type w:val="bbPlcHdr"/>
        </w:types>
        <w:behaviors>
          <w:behavior w:val="content"/>
        </w:behaviors>
        <w:guid w:val="{EC8526DD-8AEB-43AC-837C-B463101D4AF6}"/>
      </w:docPartPr>
      <w:docPartBody>
        <w:p w:rsidR="00874855" w:rsidRDefault="00221808" w:rsidP="00221808">
          <w:pPr>
            <w:pStyle w:val="E9C6504D96B0448F953762ABA604ABB6"/>
          </w:pPr>
          <w:r w:rsidRPr="0077679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old">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808"/>
    <w:rsid w:val="000417F3"/>
    <w:rsid w:val="00050A91"/>
    <w:rsid w:val="00221808"/>
    <w:rsid w:val="00265FBE"/>
    <w:rsid w:val="00304C11"/>
    <w:rsid w:val="003A1E4F"/>
    <w:rsid w:val="003A6DDE"/>
    <w:rsid w:val="0048437B"/>
    <w:rsid w:val="0048609F"/>
    <w:rsid w:val="004A4AF6"/>
    <w:rsid w:val="00567F5B"/>
    <w:rsid w:val="005A7F48"/>
    <w:rsid w:val="00730880"/>
    <w:rsid w:val="00741C2A"/>
    <w:rsid w:val="00752C5E"/>
    <w:rsid w:val="00856F2F"/>
    <w:rsid w:val="008606D1"/>
    <w:rsid w:val="0086372F"/>
    <w:rsid w:val="00874855"/>
    <w:rsid w:val="00AA0C1F"/>
    <w:rsid w:val="00AB64A1"/>
    <w:rsid w:val="00AF69BF"/>
    <w:rsid w:val="00B94864"/>
    <w:rsid w:val="00BA0C02"/>
    <w:rsid w:val="00BC067E"/>
    <w:rsid w:val="00BE3EB0"/>
    <w:rsid w:val="00D8752A"/>
    <w:rsid w:val="00DB5A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74855"/>
    <w:rPr>
      <w:color w:val="808080"/>
    </w:rPr>
  </w:style>
  <w:style w:type="paragraph" w:customStyle="1" w:styleId="E9C6504D96B0448F953762ABA604ABB6">
    <w:name w:val="E9C6504D96B0448F953762ABA604ABB6"/>
    <w:rsid w:val="002218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Baker McKenzie">
      <a:dk1>
        <a:srgbClr val="000000"/>
      </a:dk1>
      <a:lt1>
        <a:srgbClr val="FFFFFF"/>
      </a:lt1>
      <a:dk2>
        <a:srgbClr val="C2C3C4"/>
      </a:dk2>
      <a:lt2>
        <a:srgbClr val="5F5F5F"/>
      </a:lt2>
      <a:accent1>
        <a:srgbClr val="EE3135"/>
      </a:accent1>
      <a:accent2>
        <a:srgbClr val="AE132A"/>
      </a:accent2>
      <a:accent3>
        <a:srgbClr val="7A0223"/>
      </a:accent3>
      <a:accent4>
        <a:srgbClr val="002856"/>
      </a:accent4>
      <a:accent5>
        <a:srgbClr val="F58220"/>
      </a:accent5>
      <a:accent6>
        <a:srgbClr val="007B66"/>
      </a:accent6>
      <a:hlink>
        <a:srgbClr val="EE3135"/>
      </a:hlink>
      <a:folHlink>
        <a:srgbClr val="EE3135"/>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2020-01-17T00:00:00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MigrationWizIdPermissionLevels xmlns="ddd3adf8-e9ce-43fc-b18f-f114bb3bf01b" xsi:nil="true"/>
    <MigrationWizId xmlns="ddd3adf8-e9ce-43fc-b18f-f114bb3bf01b" xsi:nil="true"/>
    <MigrationWizIdPermissions xmlns="ddd3adf8-e9ce-43fc-b18f-f114bb3bf01b" xsi:nil="true"/>
    <MigrationWizIdDocumentLibraryPermissions xmlns="ddd3adf8-e9ce-43fc-b18f-f114bb3bf01b" xsi:nil="true"/>
    <MigrationWizIdSecurityGroups xmlns="ddd3adf8-e9ce-43fc-b18f-f114bb3bf01b"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A4B400A3AA37244823AD8DC1C6835A7" ma:contentTypeVersion="16" ma:contentTypeDescription="Create a new document." ma:contentTypeScope="" ma:versionID="48d3fb8d77d5908ea14343df2489da8d">
  <xsd:schema xmlns:xsd="http://www.w3.org/2001/XMLSchema" xmlns:xs="http://www.w3.org/2001/XMLSchema" xmlns:p="http://schemas.microsoft.com/office/2006/metadata/properties" xmlns:ns2="ddd3adf8-e9ce-43fc-b18f-f114bb3bf01b" xmlns:ns3="fa387d1b-7b7d-44fe-8810-fc812ae8cc12" targetNamespace="http://schemas.microsoft.com/office/2006/metadata/properties" ma:root="true" ma:fieldsID="f238a5b439a87a6f33fc1b70cce05a38" ns2:_="" ns3:_="">
    <xsd:import namespace="ddd3adf8-e9ce-43fc-b18f-f114bb3bf01b"/>
    <xsd:import namespace="fa387d1b-7b7d-44fe-8810-fc812ae8cc12"/>
    <xsd:element name="properties">
      <xsd:complexType>
        <xsd:sequence>
          <xsd:element name="documentManagement">
            <xsd:complexType>
              <xsd:all>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d3adf8-e9ce-43fc-b18f-f114bb3bf01b"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a387d1b-7b7d-44fe-8810-fc812ae8cc12"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5B1CAEF-26DD-4BA6-9890-326E51FFAEDF}">
  <ds:schemaRefs>
    <ds:schemaRef ds:uri="http://schemas.microsoft.com/office/2006/metadata/properties"/>
    <ds:schemaRef ds:uri="http://schemas.microsoft.com/office/infopath/2007/PartnerControls"/>
    <ds:schemaRef ds:uri="ddd3adf8-e9ce-43fc-b18f-f114bb3bf01b"/>
  </ds:schemaRefs>
</ds:datastoreItem>
</file>

<file path=customXml/itemProps3.xml><?xml version="1.0" encoding="utf-8"?>
<ds:datastoreItem xmlns:ds="http://schemas.openxmlformats.org/officeDocument/2006/customXml" ds:itemID="{C67CF46F-8532-4919-A9CE-86C114B9DD41}">
  <ds:schemaRefs>
    <ds:schemaRef ds:uri="http://schemas.openxmlformats.org/officeDocument/2006/bibliography"/>
  </ds:schemaRefs>
</ds:datastoreItem>
</file>

<file path=customXml/itemProps4.xml><?xml version="1.0" encoding="utf-8"?>
<ds:datastoreItem xmlns:ds="http://schemas.openxmlformats.org/officeDocument/2006/customXml" ds:itemID="{55FCFC57-8971-4143-B2D4-80FFE2C443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d3adf8-e9ce-43fc-b18f-f114bb3bf01b"/>
    <ds:schemaRef ds:uri="fa387d1b-7b7d-44fe-8810-fc812ae8c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9641B9A-23B7-4874-A0AF-B69226DA0B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1253</TotalTime>
  <Pages>3</Pages>
  <Words>224</Words>
  <Characters>1280</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George West</cp:lastModifiedBy>
  <cp:revision>71</cp:revision>
  <dcterms:created xsi:type="dcterms:W3CDTF">2020-06-08T16:30:00Z</dcterms:created>
  <dcterms:modified xsi:type="dcterms:W3CDTF">2021-06-02T18:24:00Z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Owner">
    <vt:lpwstr>v-rosi@microsoft.com</vt:lpwstr>
  </property>
  <property fmtid="{D5CDD505-2E9C-101B-9397-08002B2CF9AE}" pid="5" name="MSIP_Label_f42aa342-8706-4288-bd11-ebb85995028c_SetDate">
    <vt:lpwstr>2020-01-28T16:18:19.3267225Z</vt:lpwstr>
  </property>
  <property fmtid="{D5CDD505-2E9C-101B-9397-08002B2CF9AE}" pid="6" name="MSIP_Label_f42aa342-8706-4288-bd11-ebb85995028c_Name">
    <vt:lpwstr>General</vt:lpwstr>
  </property>
  <property fmtid="{D5CDD505-2E9C-101B-9397-08002B2CF9AE}" pid="7" name="MSIP_Label_f42aa342-8706-4288-bd11-ebb85995028c_Application">
    <vt:lpwstr>Microsoft Azure Information Protection</vt:lpwstr>
  </property>
  <property fmtid="{D5CDD505-2E9C-101B-9397-08002B2CF9AE}" pid="8" name="MSIP_Label_f42aa342-8706-4288-bd11-ebb85995028c_ActionId">
    <vt:lpwstr>f821c66d-b85a-494f-a342-36ae93d075bd</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y fmtid="{D5CDD505-2E9C-101B-9397-08002B2CF9AE}" pid="11" name="ContentTypeId">
    <vt:lpwstr>0x010100CA4B400A3AA37244823AD8DC1C6835A7</vt:lpwstr>
  </property>
</Properties>
</file>