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Corporate Real Estate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center"/>
          </w:pPr>
          <w:r>
            <w:drawing>
              <wp:inline distT="0" distB="0" distL="0" distR="0">
                <wp:extent cx="8115300" cy="1724025"/>
                <wp:effectExtent l="19050" t="0" r="0" b="0"/>
                <wp:docPr id="2" name="https://resourcehub.bakermckenzie.com/en/-/media/corporate-real-estate/images/cre-guide-image-banner_new.jpg?h=181&amp;amp;w=852&amp;amp;rev=15cddd3c579f41fc82e5f5e2a72a3a3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corporate-real-estate/images/cre-guide-image-banner_new.jpg?h=181&amp;amp;w=852&amp;amp;rev=15cddd3c579f41fc82e5f5e2a72a3a3d&amp;sc_lang=en" descr="CRE_image"/>
                        <pic:cNvPicPr>
                          <a:picLocks noChangeAspect="1" noChangeArrowheads="1"/>
                        </pic:cNvPicPr>
                      </pic:nvPicPr>
                      <pic:blipFill>
                        <a:blip r:embed="R09558ba165ad4022"/>
                        <a:srcRect/>
                        <a:stretch>
                          <a:fillRect/>
                        </a:stretch>
                      </pic:blipFill>
                      <pic:spPr bwMode="auto">
                        <a:xfrm>
                          <a:off x="0" y="0"/>
                          <a:ext cx="8115300" cy="1724025"/>
                        </a:xfrm>
                        <a:prstGeom prst="rect">
                          <a:avLst/>
                        </a:prstGeom>
                      </pic:spPr>
                    </pic:pic>
                  </a:graphicData>
                </a:graphic>
              </wp:inline>
            </w:drawing>
          </w:r>
        </w:p>
        <w:p>
          <w:pPr>
            <w:pStyle w:val="BodyText"/>
          </w:pPr>
          <w:pPr>
            <w:jc w:val="center"/>
          </w:pPr>
          <w:r>
            <w:rPr>
              <w:color w:val="AD122A"/>
            </w:rPr>
            <w:t xml:space="preserve">Global Corporate Real Estate Guide</w:t>
          </w:r>
        </w:p>
        <w:p>
          <w:pPr>
            <w:pStyle w:val="BodyText"/>
          </w:pPr>
          <w:pPr>
            <w:jc w:val="both"/>
          </w:pPr>
          <w:r>
            <w:rPr>
              <w:i/>
              <w:sz w:val="18"/>
            </w:rPr>
            <w:t xml:space="preserve">The content's last review date is indicated on each page. All content is for informational purposes only and may not reflect the most current legal and regulatory developments. All summaries of the laws, regulations and practice are subject to change.</w:t>
          </w:r>
          <w:r>
            <w:rPr>
              <w:sz w:val="18"/>
            </w:rPr>
            <w:t xml:space="preserve"> </w:t>
          </w:r>
        </w:p>
        <w:p>
          <w:pPr>
            <w:pStyle w:val="BodyText"/>
          </w:pPr>
          <w:pPr>
            <w:jc w:val="both"/>
          </w:pPr>
          <w:r>
            <w:t xml:space="preserve"> </w:t>
          </w:r>
        </w:p>
        <w:p>
          <w:pPr>
            <w:pStyle w:val="BodyText"/>
          </w:pPr>
          <w:pPr>
            <w:jc w:val="both"/>
          </w:pPr>
          <w:r>
            <w:t xml:space="preserve">Dear reader,</w:t>
          </w:r>
        </w:p>
        <w:p>
          <w:pPr>
            <w:pStyle w:val="BodyText"/>
          </w:pPr>
          <w:pPr>
            <w:jc w:val="both"/>
          </w:pPr>
          <w:r>
            <w:t xml:space="preserve">The commercial real estate market has been drastically affected by the shift to hybrid working, the evolution of digitalization and the growth of online sales, geopolitical issues, and the pandemic, among other relevant factors. Evolving regulatory requirements in key real estate markets and rapidly changing economic environments have made it more challenging for multinational companies and other investors to efficiently manage their real estate portfolios. On top of this, rising cost pressure, new leasing standards and technology advancements, such as the rise of artificial intelligence, are forcing many companies to reevaluate their corporate real estate strategy and operations.</w:t>
          </w:r>
        </w:p>
        <w:p>
          <w:pPr>
            <w:pStyle w:val="BodyText"/>
          </w:pPr>
          <w:pPr>
            <w:jc w:val="both"/>
          </w:pPr>
          <w:r>
            <w:t xml:space="preserve">We have created the Global Corporate Real Estate Guide with the belief that, whether you are an investor or an occupier, having up-to-date knowledge on real estate law in various jurisdictions is vital in decisions concerning your business. This edition covers 38 jurisdictions across Asia Pacific, Europe, the Middle East and the Americas. The guide is intended to provide fundamental information on each country’s real estate laws, including its system of registration, and common commercial terms related to acquisitions, disposals, leases, planning and environmental issues.</w:t>
          </w:r>
        </w:p>
        <w:p>
          <w:pPr>
            <w:pStyle w:val="BodyText"/>
          </w:pPr>
          <w:pPr>
            <w:jc w:val="both"/>
          </w:pPr>
          <w:r>
            <w:t xml:space="preserve">I thank all my colleagues across the globe for their contributions and expertise in compiling this guide, and I trust it proves a useful resource for you. For questions, assistance or advice, I invite you to contact any of the local Baker McKenzie chapter authors referenced in the Guide.</w:t>
          </w:r>
        </w:p>
        <w:p>
          <w:pPr>
            <w:pStyle w:val="BodyText"/>
          </w:pPr>
          <w:pPr>
            <w:jc w:val="both"/>
          </w:pPr>
          <w:r>
            <w:t xml:space="preserve"> </w:t>
          </w:r>
        </w:p>
        <w:p>
          <w:pPr>
            <w:pStyle w:val="BodyText"/>
          </w:pPr>
          <w:hyperlink w:history="true" r:id="R14a129d3fccb4a49">
            <w:r>
              <w:drawing>
                <wp:inline distT="0" distB="0" distL="0" distR="0">
                  <wp:extent cx="2333625" cy="2657475"/>
                  <wp:effectExtent l="19050" t="0" r="0" b="0"/>
                  <wp:docPr id="3" name="https://resourcehub.bakermckenzie.com/en/-/media/corporate-real-estate/images/jb_garcia-details.jpg?rev=f0e7861fc48143db8366381a72da15d0&amp;sc_lang=en" descr="">
                    <a:hlinkClick xmlns:a="http://schemas.openxmlformats.org/drawingml/2006/main" r:id="R14a129d3fccb4a49" tooltip="JB_Gracia-detail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corporate-real-estate/images/jb_garcia-details.jpg?rev=f0e7861fc48143db8366381a72da15d0&amp;sc_lang=en" descr="JB_Gracia-details"/>
                          <pic:cNvPicPr>
                            <a:picLocks noChangeAspect="1" noChangeArrowheads="1"/>
                          </pic:cNvPicPr>
                        </pic:nvPicPr>
                        <pic:blipFill>
                          <a:blip r:embed="Ra1f9da8886334018"/>
                          <a:srcRect/>
                          <a:stretch>
                            <a:fillRect/>
                          </a:stretch>
                        </pic:blipFill>
                        <pic:spPr bwMode="auto">
                          <a:xfrm>
                            <a:off x="0" y="0"/>
                            <a:ext cx="2333625" cy="2657475"/>
                          </a:xfrm>
                          <a:prstGeom prst="rect">
                            <a:avLst/>
                          </a:prstGeom>
                        </pic:spPr>
                      </pic:pic>
                    </a:graphicData>
                  </a:graphic>
                </wp:inline>
              </w:drawing>
            </w:r>
          </w:hyperlink>
        </w:p>
        <w:p>
          <w:pPr>
            <w:pStyle w:val="BodyText"/>
          </w:pPr>
          <w:r>
            <w:t xml:space="preserve">                                                                              </w:t>
          </w:r>
        </w:p>
        <w:p>
          <w:pPr>
            <w:pStyle w:val="BodyText"/>
          </w:pPr>
          <w:r>
            <w:t xml:space="preserve"> </w:t>
          </w:r>
        </w:p>
        <w:p>
          <w:pPr>
            <w:pStyle w:val="BodyText"/>
          </w:pPr>
          <w:hyperlink w:history="true" r:id="R5ec69f036508406a">
            <w:r>
              <w:drawing>
                <wp:inline distT="0" distB="0" distL="0" distR="0">
                  <wp:extent cx="1866899" cy="476250"/>
                  <wp:effectExtent l="19050" t="0" r="0" b="0"/>
                  <wp:docPr id="4" name="https://resourcehub.bakermckenzie.com/en/-/media/corporate-real-estate/images/button_download-full-guide.png?h=50.4444&amp;amp;w=196.222&amp;amp;rev=4482f28bdc9c4b84aba1215bdaff3542&amp;sc_lang=en" descr="">
                    <a:hlinkClick xmlns:a="http://schemas.openxmlformats.org/drawingml/2006/main" r:id="R5ec69f036508406a" tooltip="DL_full-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corporate-real-estate/images/button_download-full-guide.png?h=50.4444&amp;amp;w=196.222&amp;amp;rev=4482f28bdc9c4b84aba1215bdaff3542&amp;sc_lang=en" descr="DL_full-guide"/>
                          <pic:cNvPicPr>
                            <a:picLocks noChangeAspect="1" noChangeArrowheads="1"/>
                          </pic:cNvPicPr>
                        </pic:nvPicPr>
                        <pic:blipFill>
                          <a:blip r:embed="R861e7aba7ae84528"/>
                          <a:srcRect/>
                          <a:stretch>
                            <a:fillRect/>
                          </a:stretch>
                        </pic:blipFill>
                        <pic:spPr bwMode="auto">
                          <a:xfrm>
                            <a:off x="0" y="0"/>
                            <a:ext cx="1866899" cy="476250"/>
                          </a:xfrm>
                          <a:prstGeom prst="rect">
                            <a:avLst/>
                          </a:prstGeom>
                        </pic:spPr>
                      </pic:pic>
                    </a:graphicData>
                  </a:graphic>
                </wp:inline>
              </w:drawing>
            </w:r>
          </w:hyperlink>
        </w:p>
        <w:p>
          <w:pPr>
            <w:pStyle w:val="BodyText"/>
          </w:pPr>
          <w:r>
            <w:br/>
          </w:r>
          <w:hyperlink w:history="true" r:id="Rc10d34a44d9b433e">
            <w:r>
              <w:drawing>
                <wp:inline distT="0" distB="0" distL="0" distR="0">
                  <wp:extent cx="1866899" cy="476250"/>
                  <wp:effectExtent l="19050" t="0" r="0" b="0"/>
                  <wp:docPr id="5" name="https://resourcehub.bakermckenzie.com/en/-/media/corporate-real-estate/images/button_list-of-authors.png?h=50.4444&amp;amp;w=196.222&amp;amp;rev=ad0cf606eaa947e7a7fd054404eaa5d6&amp;sc_lang=en" descr="">
                    <a:hlinkClick xmlns:a="http://schemas.openxmlformats.org/drawingml/2006/main" r:id="Rc10d34a44d9b433e" tooltip="author_Li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corporate-real-estate/images/button_list-of-authors.png?h=50.4444&amp;amp;w=196.222&amp;amp;rev=ad0cf606eaa947e7a7fd054404eaa5d6&amp;sc_lang=en" descr="author_List"/>
                          <pic:cNvPicPr>
                            <a:picLocks noChangeAspect="1" noChangeArrowheads="1"/>
                          </pic:cNvPicPr>
                        </pic:nvPicPr>
                        <pic:blipFill>
                          <a:blip r:embed="Rdbe1f64186174d4f"/>
                          <a:srcRect/>
                          <a:stretch>
                            <a:fillRect/>
                          </a:stretch>
                        </pic:blipFill>
                        <pic:spPr bwMode="auto">
                          <a:xfrm>
                            <a:off x="0" y="0"/>
                            <a:ext cx="1866899" cy="476250"/>
                          </a:xfrm>
                          <a:prstGeom prst="rect">
                            <a:avLst/>
                          </a:prstGeom>
                        </pic:spPr>
                      </pic:pic>
                    </a:graphicData>
                  </a:graphic>
                </wp:inline>
              </w:drawing>
            </w:r>
          </w:hyperlink>
        </w:p>
        <w:p>
          <w:pPr>
            <w:pStyle w:val="BodyText"/>
          </w:pPr>
          <w:r>
            <w:t xml:space="preserve"> </w:t>
          </w:r>
          <w:r>
            <w:br/>
          </w:r>
          <w:hyperlink w:tooltip="InsightPlus" w:history="true" r:id="R0ada9caaf2c44a04">
            <w:r>
              <w:drawing>
                <wp:inline distT="0" distB="0" distL="0" distR="0">
                  <wp:extent cx="1866899" cy="476250"/>
                  <wp:effectExtent l="19050" t="0" r="0" b="0"/>
                  <wp:docPr id="6" name="https://resourcehub.bakermckenzie.com/en/-/media/corporate-real-estate/images/button_insightplus.png?h=50.4444&amp;amp;w=196.222&amp;amp;rev=209fb534ed6a432caba47f753b048a2d&amp;sc_lang=en" descr="">
                    <a:hlinkClick xmlns:a="http://schemas.openxmlformats.org/drawingml/2006/main" r:id="R0ada9caaf2c44a04" tooltip="Insigh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ttps://resourcehub.bakermckenzie.com/en/-/media/corporate-real-estate/images/button_insightplus.png?h=50.4444&amp;amp;w=196.222&amp;amp;rev=209fb534ed6a432caba47f753b048a2d&amp;sc_lang=en" descr="Insight"/>
                          <pic:cNvPicPr>
                            <a:picLocks noChangeAspect="1" noChangeArrowheads="1"/>
                          </pic:cNvPicPr>
                        </pic:nvPicPr>
                        <pic:blipFill>
                          <a:blip r:embed="R60117d5f08c94acf"/>
                          <a:srcRect/>
                          <a:stretch>
                            <a:fillRect/>
                          </a:stretch>
                        </pic:blipFill>
                        <pic:spPr bwMode="auto">
                          <a:xfrm>
                            <a:off x="0" y="0"/>
                            <a:ext cx="1866899" cy="476250"/>
                          </a:xfrm>
                          <a:prstGeom prst="rect">
                            <a:avLst/>
                          </a:prstGeom>
                        </pic:spPr>
                      </pic:pic>
                    </a:graphicData>
                  </a:graphic>
                </wp:inline>
              </w:drawing>
            </w:r>
          </w:hyperlink>
        </w:p>
        <w:p>
          <w:pPr>
            <w:pStyle w:val="BodyText"/>
          </w:pPr>
          <w:r>
            <w:br/>
          </w:r>
          <w:hyperlink w:tooltip="Baker McKenzie Real Estate Website" w:history="true" r:id="R5df526e31dcd4914">
            <w:r>
              <w:drawing>
                <wp:inline distT="0" distB="0" distL="0" distR="0">
                  <wp:extent cx="1866899" cy="476250"/>
                  <wp:effectExtent l="19050" t="0" r="0" b="0"/>
                  <wp:docPr id="7" name="https://resourcehub.bakermckenzie.com/en/-/media/corporate-real-estate/images/button_bm-re-website.png?rev=4d62714a7e41406fa3afdda17f9467a5&amp;sc_lang=en" descr="">
                    <a:hlinkClick xmlns:a="http://schemas.openxmlformats.org/drawingml/2006/main" r:id="R5df526e31dcd4914" tooltip="BM_R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ttps://resourcehub.bakermckenzie.com/en/-/media/corporate-real-estate/images/button_bm-re-website.png?rev=4d62714a7e41406fa3afdda17f9467a5&amp;sc_lang=en" descr="BM_RE"/>
                          <pic:cNvPicPr>
                            <a:picLocks noChangeAspect="1" noChangeArrowheads="1"/>
                          </pic:cNvPicPr>
                        </pic:nvPicPr>
                        <pic:blipFill>
                          <a:blip r:embed="Rbdf42f87d79444e4"/>
                          <a:srcRect/>
                          <a:stretch>
                            <a:fillRect/>
                          </a:stretch>
                        </pic:blipFill>
                        <pic:spPr bwMode="auto">
                          <a:xfrm>
                            <a:off x="0" y="0"/>
                            <a:ext cx="1866899" cy="476250"/>
                          </a:xfrm>
                          <a:prstGeom prst="rect">
                            <a:avLst/>
                          </a:prstGeom>
                        </pic:spPr>
                      </pic:pic>
                    </a:graphicData>
                  </a:graphic>
                </wp:inline>
              </w:drawing>
            </w:r>
          </w:hyperlink>
        </w:p>
        <w:p>
          <w:pPr>
            <w:pStyle w:val="BodyText"/>
          </w:pPr>
          <w:r>
            <w:t xml:space="preserve"> </w:t>
          </w:r>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09558ba165ad4022" /><Relationship Type="http://schemas.openxmlformats.org/officeDocument/2006/relationships/hyperlink" Target="https://www.bakermckenzie.com/en/people/g/garciagarza-juan-bernardo" TargetMode="External" Id="R14a129d3fccb4a49" /><Relationship Type="http://schemas.openxmlformats.org/officeDocument/2006/relationships/image" Target="/media/image2.jpg" Id="Ra1f9da8886334018" /><Relationship Type="http://schemas.openxmlformats.org/officeDocument/2006/relationships/hyperlink" Target="https://resourcehub.bakermckenzie.com/en/-/media/corporate-real-estate/files/global-corporate-real-estate-guide-2023_05032024_v2.pdf?rev=f09603bb6fda43e7b6b780a86ff11c1a&amp;sc_lang=en" TargetMode="External" Id="R5ec69f036508406a" /><Relationship Type="http://schemas.openxmlformats.org/officeDocument/2006/relationships/image" Target="/media/image3.png" Id="R861e7aba7ae84528" /><Relationship Type="http://schemas.openxmlformats.org/officeDocument/2006/relationships/hyperlink" Target="https://resourcehub.bakermckenzie.com/en/-/media/corporate-real-estate/files/global-corporate-real-estate-guide-2023--authors05032024-v2.pdf?rev=5b16005c59304b059a710a33a3b7d3c9&amp;sc_lang=en" TargetMode="External" Id="Rc10d34a44d9b433e" /><Relationship Type="http://schemas.openxmlformats.org/officeDocument/2006/relationships/image" Target="/media/image4.png" Id="Rdbe1f64186174d4f" /><Relationship Type="http://schemas.openxmlformats.org/officeDocument/2006/relationships/hyperlink" Target="https://insightplus.bakermckenzie.com/bm/real-estate_1" TargetMode="External" Id="R0ada9caaf2c44a04" /><Relationship Type="http://schemas.openxmlformats.org/officeDocument/2006/relationships/image" Target="/media/image5.png" Id="R60117d5f08c94acf" /><Relationship Type="http://schemas.openxmlformats.org/officeDocument/2006/relationships/hyperlink" Target="http://www.bakermckenzie.com/en/expertise/practices/real-estate" TargetMode="External" Id="R5df526e31dcd4914" /><Relationship Type="http://schemas.openxmlformats.org/officeDocument/2006/relationships/image" Target="/media/image6.png" Id="Rbdf42f87d79444e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