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BC7873" w:rsidR="00BC7873" w:rsidP="00025B2B" w:rsidRDefault="00421ABE" w14:paraId="5605F879" w14:textId="3E2C2C85">
      <w:pPr>
        <w:pStyle w:val="Subtitle"/>
      </w:pPr>
      <w:r w:rsidRPr="00BC7873">
        <w:t>COVID-19: Global Real Estate Guide</w:t>
      </w:r>
    </w:p>
    <w:p w:rsidRPr="005C2C83" w:rsidR="008020A8" w:rsidP="005C2C83" w:rsidRDefault="00761F2A" w14:paraId="655AAA20" w14:textId="71DF5B27">
      <w:pPr>
        <w:pStyle w:val="Table"/>
      </w:pPr>
      <w:r>
        <w:br w:type="page"/>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
      <w:tblGrid>
        <w:gridCol w:w="8990"/>
      </w:tblGrid>
      <w:tr w:rsidR="0097103A" w:rsidTr="00C93D03" w14:paraId="41A93E73" w14:textId="77777777">
        <w:trPr>
          <w:tblHeader/>
        </w:trPr>
        <w:tc>
          <w:tcPr>
            <w:tcW w:w="8990" w:type="dxa"/>
          </w:tcPr>
          <w:p w:rsidR="0097103A" w:rsidP="0097103A" w:rsidRDefault="0097103A" w14:paraId="04335DFC" w14:textId="5E9F37C4">
            <w:pPr>
              <w:pStyle w:val="TOCHeading"/>
              <w:spacing w:after="160"/>
            </w:pPr>
            <w:r>
              <w:lastRenderedPageBreak/>
              <w:t>Contents</w:t>
            </w:r>
          </w:p>
        </w:tc>
      </w:tr>
      <w:tr w:rsidR="0097103A" w:rsidTr="0097103A" w14:paraId="2EAF8FE2" w14:textId="77777777">
        <w:tc>
          <w:tcPr>
            <w:tcW w:w="8990" w:type="dxa"/>
          </w:tcPr>
          <w:sdt>
            <w:sdtPr>
              <w:rPr>
                <w:rFonts w:asciiTheme="minorHAnsi" w:hAnsiTheme="minorHAnsi"/>
                <w:b/>
                <w:bCs/>
                <w:noProof/>
              </w:rPr>
              <w:id w:val="1154019052"/>
              <w:docPartObj>
                <w:docPartGallery w:val="Table of Contents"/>
                <w:docPartUnique/>
              </w:docPartObj>
            </w:sdtPr>
            <w:sdtEndPr>
              <w:rPr>
                <w:rFonts w:ascii="Arial" w:hAnsi="Arial"/>
                <w:b w:val="0"/>
                <w:bCs w:val="0"/>
                <w:noProof w:val="0"/>
              </w:rPr>
            </w:sdtEndPr>
            <w:sdtContent>
              <w:bookmarkStart w:name="_Toc33529396" w:displacedByCustomXml="next" w:id="0"/>
              <w:sdt>
                <w:sdtPr>
                  <w:rPr>
                    <w:rFonts w:asciiTheme="minorHAnsi" w:hAnsiTheme="minorHAnsi"/>
                    <w:b/>
                    <w:bCs/>
                    <w:noProof/>
                  </w:rPr>
                  <w:id w:val="-518013989"/>
                  <w:docPartObj>
                    <w:docPartGallery w:val="Table of Contents"/>
                    <w:docPartUnique/>
                  </w:docPartObj>
                </w:sdtPr>
                <w:sdtEndPr>
                  <w:rPr>
                    <w:rFonts w:ascii="Arial" w:hAnsi="Arial"/>
                    <w:b w:val="0"/>
                    <w:bCs w:val="0"/>
                    <w:noProof w:val="0"/>
                    <w:sz w:val="20"/>
                  </w:rPr>
                </w:sdtEndPr>
                <w:sdtContent>
                  <w:bookmarkEnd w:displacedByCustomXml="prev" w:id="0"/>
                  <w:p w:rsidRPr="0097103A" w:rsidR="0097103A" w:rsidP="0097103A" w:rsidRDefault="0097103A" w14:paraId="14CD9A92" w14:textId="01B2A8FB">
                    <w:pPr>
                      <w:pStyle w:val="TOC1"/>
                      <w:rPr>
                        <w:sz w:val="20"/>
                      </w:rPr>
                    </w:pPr>
                    <w:r>
                      <w:fldChar w:fldCharType="begin"/>
                    </w:r>
                    <w:r>
                      <w:instrText xml:space="preserve"> TOC \o "1-2" \h \z \u </w:instrText>
                    </w:r>
                    <w:r>
                      <w:fldChar w:fldCharType="separate"/>
                    </w:r>
                    <w:r>
                      <w:t xml:space="preserve">To generate table of contents, right-click here and select </w:t>
                    </w:r>
                    <w:r w:rsidRPr="008816BB">
                      <w:rPr>
                        <w:b/>
                        <w:bCs/>
                      </w:rPr>
                      <w:t>Update Field</w:t>
                    </w:r>
                    <w:r>
                      <w:rPr>
                        <w:b/>
                        <w:bCs/>
                        <w:noProof/>
                      </w:rPr>
                      <w:t>.</w:t>
                    </w:r>
                    <w:r>
                      <w:rPr>
                        <w:b/>
                        <w:bCs/>
                        <w:noProof/>
                      </w:rPr>
                      <w:fldChar w:fldCharType="end"/>
                    </w:r>
                  </w:p>
                </w:sdtContent>
              </w:sdt>
            </w:sdtContent>
          </w:sdt>
        </w:tc>
      </w:tr>
    </w:tbl>
    <w:p w:rsidR="001D13A1" w:rsidRDefault="001D13A1" w14:paraId="623D7F49" w14:textId="4A343F5E">
      <w:pPr>
        <w:spacing w:after="160" w:line="259" w:lineRule="auto"/>
      </w:pPr>
      <w:r>
        <w:br w:type="page"/>
      </w:r>
    </w:p>
    <w:bookmarkStart w:name="_Toc42605613" w:displacedByCustomXml="next" w:id="1"/>
    <w:bookmarkEnd w:displacedByCustomXml="prev" w:id="1"/>
    <w:bookmarkStart w:name="_Toc42605614" w:displacedByCustomXml="next" w:id="2"/>
    <w:sdt>
      <w:sdtPr>
        <w:rPr>
          <w:rFonts w:eastAsiaTheme="minorHAnsi" w:cstheme="minorBidi"/>
          <w:b/>
          <w:color w:val="auto"/>
          <w:sz w:val="20"/>
          <w:szCs w:val="20"/>
        </w:rPr>
        <w:id w:val="655893973"/>
        <w:placeholder>
          <w:docPart w:val="DefaultPlaceholder_-1854013435"/>
        </w:placeholder>
        <w15:repeatingSectionItem/>
      </w:sdtPr>
      <w:sdtEndPr>
        <w:rPr>
          <w:b w:val="0"/>
          <w:szCs w:val="22"/>
        </w:rPr>
      </w:sdtEndPr>
      <w:sdtContent>
        <w:bookmarkEnd w:displacedByCustomXml="next" w:id="2"/>
        <w:p>
          <w:pPr>
            <w:pStyle w:val="BodyText"/>
          </w:pPr>
          <w:pPr>
            <w:pStyle w:val="Heading1"/>
          </w:pPr>
          <w:r>
            <w:drawing>
              <wp:inline distT="0" distB="0" distL="0" distR="0">
                <wp:extent cx="8115300" cy="1724025"/>
                <wp:effectExtent l="19050" t="0" r="0" b="0"/>
                <wp:docPr id="5" name="https://resourcehub.bakermckenzie.com/en/-/media/corporate-real-estate/images/covidexternalbanner.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ttps://resourcehub.bakermckenzie.com/en/-/media/corporate-real-estate/images/covidexternalbanner.jpg" descr="banner"/>
                        <pic:cNvPicPr>
                          <a:picLocks noChangeAspect="1" noChangeArrowheads="1"/>
                        </pic:cNvPicPr>
                      </pic:nvPicPr>
                      <pic:blipFill>
                        <a:blip r:embed="Rb56f3cda9fa84a22"/>
                        <a:srcRect/>
                        <a:stretch>
                          <a:fillRect/>
                        </a:stretch>
                      </pic:blipFill>
                      <pic:spPr bwMode="auto">
                        <a:xfrm>
                          <a:off x="0" y="0"/>
                          <a:ext cx="8115300" cy="1724025"/>
                        </a:xfrm>
                        <a:prstGeom prst="rect">
                          <a:avLst/>
                        </a:prstGeom>
                      </pic:spPr>
                    </pic:pic>
                  </a:graphicData>
                </a:graphic>
              </wp:inline>
            </w:drawing>
          </w:r>
        </w:p>
        <w:p>
          <w:pPr>
            <w:pStyle w:val="BodyText"/>
          </w:pPr>
          <w:pPr>
            <w:pStyle w:val="Heading1"/>
          </w:pPr>
          <w:r>
            <w:rPr>
              <w:color w:val="AD122A"/>
            </w:rPr>
            <w:t xml:space="preserve">COVID-19 GLOBAL REAL ESTATE GUIDE</w:t>
          </w:r>
        </w:p>
        <w:p>
          <w:pPr>
            <w:pStyle w:val="BodyText"/>
          </w:pPr>
          <w:pPr>
            <w:jc w:val="both"/>
          </w:pPr>
          <w:r>
            <w:rPr>
              <w:i/>
              <w:sz w:val="18"/>
            </w:rPr>
            <w:t xml:space="preserve">The content's last review date is indicated on each page. All content is for informational purposes only and may not reflect the most current legal and regulatory developments. All summaries of the laws, regulations and practice are subject to change.</w:t>
          </w:r>
        </w:p>
        <w:p>
          <w:pPr>
            <w:pStyle w:val="BodyText"/>
          </w:pPr>
          <w:r>
            <w:t xml:space="preserve">Months after COVID-19 required governments to impose lockdowns and quarantines, the pandemic continues to affect many owners and occupiers of commercial properties. Parties wish to clarify their obligations and remedies in the light of constantly evolving government requirements. Multi-national companies face the added challenge of having to deal with real estate laws and practices that vary significantly across jurisdictions.</w:t>
          </w:r>
        </w:p>
        <w:p>
          <w:pPr>
            <w:pStyle w:val="BodyText"/>
          </w:pPr>
          <w:r>
            <w:t xml:space="preserve">The Baker McKenzie Real Estate Practice Group is pleased to provide you with this guide, which is designed to address some common questions that landlords and tenants will be considering in these unprecedented and uncertain times. In this guide, Baker McKenzie lawyers from 39 jurisdictions share their high-level views on these key questions:</w:t>
          </w:r>
        </w:p>
        <w:p>
          <w:pPr>
            <w:pStyle w:val="BodyText"/>
          </w:pPr>
          <w:pPr>
            <w:pStyle w:val="ListParagraph"/>
            <w:numPr>
              <w:ilvl w:val="0"/>
              <w:numId w:val="19"/>
            </w:numPr>
          </w:pPr>
          <w:r>
            <w:t xml:space="preserve">If the government has imposed additional public health requirements, can the landlord require the tenant to comply with these?</w:t>
          </w:r>
        </w:p>
        <w:p>
          <w:pPr>
            <w:pStyle w:val="BodyText"/>
          </w:pPr>
          <w:pPr>
            <w:pStyle w:val="ListParagraph"/>
            <w:numPr>
              <w:ilvl w:val="0"/>
              <w:numId w:val="19"/>
            </w:numPr>
          </w:pPr>
          <w:r>
            <w:t xml:space="preserve">If compliance with public health requirements falls to the landlord, who pays for items such as an enhanced cleaning regime, additional cleaning of common areas, any deep cleaning, provision of additional refuse removal, for example?</w:t>
          </w:r>
        </w:p>
        <w:p>
          <w:pPr>
            <w:pStyle w:val="BodyText"/>
          </w:pPr>
          <w:pPr>
            <w:pStyle w:val="ListParagraph"/>
            <w:numPr>
              <w:ilvl w:val="0"/>
              <w:numId w:val="19"/>
            </w:numPr>
          </w:pPr>
          <w:r>
            <w:t xml:space="preserve">If the tenant cannot use its property, does it have to continue paying rent?</w:t>
          </w:r>
        </w:p>
        <w:p>
          <w:pPr>
            <w:pStyle w:val="BodyText"/>
          </w:pPr>
          <w:pPr>
            <w:pStyle w:val="ListParagraph"/>
            <w:numPr>
              <w:ilvl w:val="0"/>
              <w:numId w:val="19"/>
            </w:numPr>
          </w:pPr>
          <w:r>
            <w:t xml:space="preserve">Is it common for leases in this jurisdiction to contain a tenant's keep-open covenant?</w:t>
          </w:r>
        </w:p>
        <w:p>
          <w:pPr>
            <w:pStyle w:val="BodyText"/>
          </w:pPr>
          <w:pPr>
            <w:pStyle w:val="ListParagraph"/>
            <w:numPr>
              <w:ilvl w:val="0"/>
              <w:numId w:val="19"/>
            </w:numPr>
          </w:pPr>
          <w:r>
            <w:t xml:space="preserve">If the lease contains a keep-open covenant, would the closure of the premises due to a governmental quarantine or shutdown result in an actionable breach of the covenant?</w:t>
          </w:r>
        </w:p>
        <w:p>
          <w:pPr>
            <w:pStyle w:val="BodyText"/>
          </w:pPr>
          <w:pPr>
            <w:pStyle w:val="ListParagraph"/>
            <w:numPr>
              <w:ilvl w:val="0"/>
              <w:numId w:val="19"/>
            </w:numPr>
          </w:pPr>
          <w:r>
            <w:t xml:space="preserve">Can the parties claim that COVID-19 is a force majeure event, which excuses the parties from performing the lease obligations?</w:t>
          </w:r>
        </w:p>
        <w:p>
          <w:pPr>
            <w:pStyle w:val="BodyText"/>
          </w:pPr>
          <w:pPr>
            <w:pStyle w:val="ListParagraph"/>
            <w:numPr>
              <w:ilvl w:val="0"/>
              <w:numId w:val="19"/>
            </w:numPr>
          </w:pPr>
          <w:r>
            <w:t xml:space="preserve">Can the parties claim that the lease contract is frustrated (and therefore terminated) by COVID-19?</w:t>
          </w:r>
        </w:p>
        <w:p>
          <w:pPr>
            <w:pStyle w:val="BodyText"/>
          </w:pPr>
          <w:pPr>
            <w:pStyle w:val="ListParagraph"/>
            <w:numPr>
              <w:ilvl w:val="0"/>
              <w:numId w:val="19"/>
            </w:numPr>
          </w:pPr>
          <w:r>
            <w:t xml:space="preserve">Do landlords and tenants commonly obtain business interruption insurance?</w:t>
          </w:r>
        </w:p>
        <w:p>
          <w:pPr>
            <w:pStyle w:val="BodyText"/>
          </w:pPr>
          <w:pPr>
            <w:pStyle w:val="ListParagraph"/>
            <w:numPr>
              <w:ilvl w:val="0"/>
              <w:numId w:val="19"/>
            </w:numPr>
          </w:pPr>
          <w:r>
            <w:t xml:space="preserve">Are there other government intervention schemes that may affect leases?</w:t>
          </w:r>
        </w:p>
        <w:p>
          <w:pPr>
            <w:pStyle w:val="BodyText"/>
          </w:pPr>
          <w:pPr>
            <w:pStyle w:val="ListParagraph"/>
            <w:numPr>
              <w:ilvl w:val="0"/>
              <w:numId w:val="19"/>
            </w:numPr>
          </w:pPr>
          <w:r>
            <w:t xml:space="preserve">Are there any government actions in play affecting other real estate businesses or premises?</w:t>
          </w:r>
        </w:p>
        <w:p>
          <w:pPr>
            <w:pStyle w:val="BodyText"/>
          </w:pPr>
          <w:pPr>
            <w:pStyle w:val="ListParagraph"/>
            <w:numPr>
              <w:ilvl w:val="0"/>
              <w:numId w:val="19"/>
            </w:numPr>
          </w:pPr>
          <w:r>
            <w:t xml:space="preserve">Are any additional laws being contemplated?</w:t>
          </w:r>
        </w:p>
        <w:p>
          <w:pPr>
            <w:pStyle w:val="BodyText"/>
          </w:pPr>
          <w:pPr>
            <w:pStyle w:val="ListParagraph"/>
            <w:numPr>
              <w:ilvl w:val="0"/>
              <w:numId w:val="19"/>
            </w:numPr>
          </w:pPr>
          <w:r>
            <w:t xml:space="preserve">Are landlords and tenants negotiating amendments to leases?</w:t>
          </w:r>
        </w:p>
        <w:p>
          <w:pPr>
            <w:pStyle w:val="BodyText"/>
          </w:pPr>
          <w:pPr>
            <w:pStyle w:val="ListParagraph"/>
            <w:numPr>
              <w:ilvl w:val="0"/>
              <w:numId w:val="19"/>
            </w:numPr>
          </w:pPr>
          <w:r>
            <w:t xml:space="preserve">As businesses re-open are there any new requirements to adhere to?</w:t>
          </w:r>
        </w:p>
        <w:p>
          <w:pPr>
            <w:pStyle w:val="BodyText"/>
          </w:pPr>
          <w:pPr>
            <w:pStyle w:val="ListParagraph"/>
            <w:numPr>
              <w:ilvl w:val="0"/>
              <w:numId w:val="19"/>
            </w:numPr>
          </w:pPr>
          <w:r>
            <w:t xml:space="preserve">Are there other emerging trends or key issues for landlords or tenants?</w:t>
          </w:r>
        </w:p>
        <w:p>
          <w:pPr>
            <w:pStyle w:val="BodyText"/>
          </w:pPr>
          <w:r>
            <w:t xml:space="preserve">We hope that this guide continues to encourage landlords and tenants to begin dialogue on some of these difficult questions. Generally, there are no clear-cut answers to these issues, in any jurisdiction. Therefore, there is no substitute for a careful review of the provisions of each lease and a thorough assessment against the relevant factual circumstances in each jurisdiction.  The content of this guide is current as of the date indicated in each jurisdiction and does not constitute legal advice. The COVID-19 outbreak is an escalating situation and authorities are issuing advice on a daily basis. It is critical to assess the effectiveness, proportionality and reasonableness of any proposed action carefully on a case-by-case basis and in light of the most recent information and developments. </w:t>
          </w:r>
        </w:p>
        <w:p>
          <w:pPr>
            <w:pStyle w:val="BodyText"/>
          </w:pPr>
          <w:r>
            <w:t xml:space="preserve">You may also want to visit the </w:t>
          </w:r>
          <w:hyperlink w:history="true" r:id="R0996134d07a74f1b">
            <w:r>
              <w:rPr>
                <w:rStyle w:val="Hyperlink"/>
              </w:rPr>
              <w:t xml:space="preserve">Baker McKenzie Coronavirus Resource Page</w:t>
            </w:r>
          </w:hyperlink>
          <w:r>
            <w:t xml:space="preserve"> to access a wealth of materials around this topic.</w:t>
          </w:r>
        </w:p>
      </w:sdtContent>
    </w:sdt>
    <w:sdt>
      <w:sdtPr>
        <w:rPr>
          <w:rFonts w:eastAsiaTheme="minorHAnsi" w:cstheme="minorBidi"/>
          <w:b/>
          <w:color w:val="auto"/>
          <w:sz w:val="20"/>
          <w:szCs w:val="20"/>
        </w:rPr>
        <w:id w:val="655893973"/>
        <w:placeholder>
          <w:docPart w:val="DefaultPlaceholder_-1854013435"/>
        </w:placeholder>
        <w15:repeatingSectionItem/>
      </w:sdtPr>
      <w:sdtEndPr>
        <w:rPr>
          <w:b w:val="0"/>
          <w:szCs w:val="22"/>
        </w:rPr>
      </w:sdtEndPr>
      <w:sdtContent>
        <w:bookmarkEnd w:displacedByCustomXml="next" w:id="2"/>
        <w:p>
          <w:pPr>
            <w:pStyle w:val="BodyText"/>
          </w:pPr>
          <w:hyperlink w:history="true" r:id="R299e74001ccf4829">
            <w:r>
              <w:drawing>
                <wp:inline distT="0" distB="0" distL="0" distR="0">
                  <wp:extent cx="1914525" cy="352425"/>
                  <wp:effectExtent l="19050" t="0" r="0" b="0"/>
                  <wp:docPr id="2" name="https://resourcehub.bakermckenzie.com/en/-/media/corporate-real-estate/images/list-of-authors-icon.png?h=37&amp;amp;w=201" descr="">
                    <a:hlinkClick xmlns:a="http://schemas.openxmlformats.org/drawingml/2006/main" r:id="R299e74001ccf4829" tooltip="List of author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ttps://resourcehub.bakermckenzie.com/en/-/media/corporate-real-estate/images/list-of-authors-icon.png?h=37&amp;amp;w=201" descr="List of authors"/>
                          <pic:cNvPicPr>
                            <a:picLocks noChangeAspect="1" noChangeArrowheads="1"/>
                          </pic:cNvPicPr>
                        </pic:nvPicPr>
                        <pic:blipFill>
                          <a:blip r:embed="Rbcd1735519344313"/>
                          <a:srcRect/>
                          <a:stretch>
                            <a:fillRect/>
                          </a:stretch>
                        </pic:blipFill>
                        <pic:spPr bwMode="auto">
                          <a:xfrm>
                            <a:off x="0" y="0"/>
                            <a:ext cx="1914525" cy="352425"/>
                          </a:xfrm>
                          <a:prstGeom prst="rect">
                            <a:avLst/>
                          </a:prstGeom>
                        </pic:spPr>
                      </pic:pic>
                    </a:graphicData>
                  </a:graphic>
                </wp:inline>
              </w:drawing>
            </w:r>
          </w:hyperlink>
        </w:p>
        <w:p>
          <w:pPr>
            <w:pStyle w:val="BodyText"/>
          </w:pPr>
          <w:hyperlink w:history="true" r:id="Rdb185efaefe14f04">
            <w:r>
              <w:drawing>
                <wp:inline distT="0" distB="0" distL="0" distR="0">
                  <wp:extent cx="1914525" cy="352425"/>
                  <wp:effectExtent l="19050" t="0" r="0" b="0"/>
                  <wp:docPr id="3" name="https://resourcehub.bakermckenzie.com/en/-/media/corporate-real-estate/images/thin-version-insightplus.png?h=37&amp;amp;w=201" descr="">
                    <a:hlinkClick xmlns:a="http://schemas.openxmlformats.org/drawingml/2006/main" r:id="Rdb185efaefe14f04" tooltip="InsightPlus for Covid Pag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ttps://resourcehub.bakermckenzie.com/en/-/media/corporate-real-estate/images/thin-version-insightplus.png?h=37&amp;amp;w=201" descr="InsightPlus for Covid Page"/>
                          <pic:cNvPicPr>
                            <a:picLocks noChangeAspect="1" noChangeArrowheads="1"/>
                          </pic:cNvPicPr>
                        </pic:nvPicPr>
                        <pic:blipFill>
                          <a:blip r:embed="R64ff21e3fa214cd2"/>
                          <a:srcRect/>
                          <a:stretch>
                            <a:fillRect/>
                          </a:stretch>
                        </pic:blipFill>
                        <pic:spPr bwMode="auto">
                          <a:xfrm>
                            <a:off x="0" y="0"/>
                            <a:ext cx="1914525" cy="352425"/>
                          </a:xfrm>
                          <a:prstGeom prst="rect">
                            <a:avLst/>
                          </a:prstGeom>
                        </pic:spPr>
                      </pic:pic>
                    </a:graphicData>
                  </a:graphic>
                </wp:inline>
              </w:drawing>
            </w:r>
          </w:hyperlink>
        </w:p>
      </w:sdtContent>
    </w:sdt>
    <w:p>
      <w:pPr>
        <w:pStyle w:val="Disclaimer"/>
      </w:pPr>
      <w:r>
        <w:t xml:space="preserve"> </w:t>
      </w:r>
    </w:p>
    <w:p>
      <w:pPr>
        <w:pStyle w:val="Disclaimer"/>
      </w:pPr>
      <w:r>
        <w:t xml:space="preserve">©Copyright © 2024 Baker &amp; McKenzie. All rights reserved. </w:t>
      </w:r>
      <w:r>
        <w:rPr>
          <w:b/>
        </w:rPr>
        <w:t xml:space="preserve">Ownership</w:t>
      </w:r>
      <w:r>
        <w:t xml:space="preserve">: This documentation and content (Content) is a proprietary resource owned exclusively by Baker McKenzie (meaning Baker &amp; McKenzie International and its member firms). The Content is protected under international copyright conventions. Use of this Content does not of itself create a contractual relationship, nor any attorney/client relationship, between Baker McKenzie and any person.</w:t>
      </w:r>
      <w:r>
        <w:rPr>
          <w:b/>
        </w:rPr>
        <w:t xml:space="preserve"> Non-reliance and exclusion</w:t>
      </w:r>
      <w:r>
        <w:t xml:space="preserve">: All Content is for informational purposes only and may not reflect the most current legal and regulatory developments. All summaries of the laws, regulations and practice are subject to change. The Content is not offered as legal or professional advice for any specific matter. It is not intended to be a substitute for reference to (and compliance with) the detailed provisions of applicable laws, rules, regulations or forms. Legal advice should always be sought before taking any action or refraining from taking any action based on any Content. Baker McKenzie and the editors and the contributing authors do not guarantee the accuracy of the Content and expressly disclaim any and all liability to any person in respect of the consequences of anything done or permitted to be done or omitted to be done wholly or partly in reliance upon the whole or any part of the Content. The Content may contain links to external websites and external websites may link to the Content. Baker McKenzie is not responsible for the content or operation of any such external sites and disclaims all liability, howsoever occurring, in respect of the content or operation of any such external websites. </w:t>
      </w:r>
      <w:r>
        <w:rPr>
          <w:b/>
        </w:rPr>
        <w:t xml:space="preserve">Attorney Advertising</w:t>
      </w:r>
      <w:r>
        <w:t xml:space="preserve">: This Content may qualify as “Attorney Advertising” requiring notice in some jurisdictions. To the extent that this Content may qualify as Attorney Advertising, PRIOR RESULTS DO NOT GUARANTEE A SIMILAR OUTCOME. </w:t>
      </w:r>
      <w:r>
        <w:rPr>
          <w:b/>
        </w:rPr>
        <w:t xml:space="preserve">Reproduction</w:t>
      </w:r>
      <w:r>
        <w:t xml:space="preserve">: Reproduction or copying of the Content on this Site without express written authorization is strictly prohibited.</w:t>
      </w:r>
    </w:p>
    <w:p w:rsidR="00E2036B" w:rsidP="00896739" w:rsidRDefault="00E2036B" w14:paraId="42DBF3BA" w14:textId="77777777">
      <w:pPr>
        <w:pStyle w:val="IndentedCopy"/>
        <w:spacing w:line="276" w:lineRule="auto"/>
        <w:ind w:left="0"/>
      </w:pPr>
    </w:p>
    <w:sectPr w:rsidR="00E2036B" w:rsidSect="003A3B65">
      <w:headerReference w:type="even" r:id="rId13"/>
      <w:headerReference w:type="default" r:id="rId14"/>
      <w:footerReference w:type="even" r:id="rId15"/>
      <w:footerReference w:type="default" r:id="rId16"/>
      <w:headerReference w:type="first" r:id="rId17"/>
      <w:footerReference w:type="first" r:id="rId18"/>
      <w:type w:val="continuous"/>
      <w:pgSz w:w="12240" w:h="15840"/>
      <w:pgMar w:top="1440" w:right="1800" w:bottom="1440" w:left="1440" w:header="115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B2CB2" w:rsidP="008407E2" w:rsidRDefault="008B2CB2" w14:paraId="6FEA254A" w14:textId="77777777">
      <w:pPr>
        <w:spacing w:after="0" w:line="240" w:lineRule="auto"/>
      </w:pPr>
      <w:r>
        <w:separator/>
      </w:r>
    </w:p>
  </w:endnote>
  <w:endnote w:type="continuationSeparator" w:id="0">
    <w:p w:rsidR="008B2CB2" w:rsidP="008407E2" w:rsidRDefault="008B2CB2" w14:paraId="5BD8B78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80811" w:rsidRDefault="00B80811" w14:paraId="16B332AC"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407E2" w:rsidP="00B10B36" w:rsidRDefault="008016C9" w14:paraId="1AC669BB" w14:textId="0968906B">
    <w:pPr>
      <w:pStyle w:val="Footertext"/>
      <w:spacing w:after="120"/>
    </w:pPr>
    <w:r>
      <w:t>www.</w:t>
    </w:r>
    <w:r w:rsidR="00507F6E">
      <w:t>bakermckenzie.com</w:t>
    </w:r>
    <w:sdt>
      <w:sdtPr>
        <w:id w:val="1753236663"/>
        <w:docPartObj>
          <w:docPartGallery w:val="Page Numbers (Bottom of Page)"/>
          <w:docPartUnique/>
        </w:docPartObj>
      </w:sdtPr>
      <w:sdtEndPr/>
      <w:sdtContent/>
    </w:sdt>
    <w:r w:rsidR="001E6FBB">
      <w:tab/>
      <w:t xml:space="preserve">Copyright </w:t>
    </w:r>
    <w:r w:rsidR="001E6FBB">
      <w:fldChar w:fldCharType="begin"/>
    </w:r>
    <w:r w:rsidR="001E6FBB">
      <w:instrText xml:space="preserve"> DATE  \@ "yyyy"  \* MERGEFORMAT </w:instrText>
    </w:r>
    <w:r w:rsidR="001E6FBB">
      <w:fldChar w:fldCharType="separate"/>
    </w:r>
    <w:r w:rsidR="000A4361">
      <w:rPr>
        <w:noProof/>
      </w:rPr>
      <w:t>2021</w:t>
    </w:r>
    <w:r w:rsidR="001E6FBB">
      <w:fldChar w:fldCharType="end"/>
    </w:r>
    <w:r w:rsidR="001E6FBB">
      <w:tab/>
    </w:r>
    <w:r w:rsidR="001E6FBB">
      <w:fldChar w:fldCharType="begin"/>
    </w:r>
    <w:r w:rsidR="001E6FBB">
      <w:instrText xml:space="preserve"> PAGE  \* Arabic  \* MERGEFORMAT </w:instrText>
    </w:r>
    <w:r w:rsidR="001E6FBB">
      <w:fldChar w:fldCharType="separate"/>
    </w:r>
    <w:r w:rsidR="001E6FBB">
      <w:rPr>
        <w:noProof/>
      </w:rPr>
      <w:t>2</w:t>
    </w:r>
    <w:r w:rsidR="001E6FBB">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B616C" w:rsidP="00FB54FC" w:rsidRDefault="00422BE8" w14:paraId="318D787C" w14:textId="43A4ACC3">
    <w:pPr>
      <w:pStyle w:val="Footertext"/>
      <w:spacing w:after="120"/>
    </w:pPr>
    <w:r w:rsidRPr="00422BE8">
      <w:t>https://resourcehub.bakermckenzie.com/en/resources/covid-19-global-real-estate-guide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B2CB2" w:rsidP="008407E2" w:rsidRDefault="008B2CB2" w14:paraId="754A89C5" w14:textId="77777777">
      <w:pPr>
        <w:spacing w:after="0" w:line="240" w:lineRule="auto"/>
      </w:pPr>
      <w:r>
        <w:separator/>
      </w:r>
    </w:p>
  </w:footnote>
  <w:footnote w:type="continuationSeparator" w:id="0">
    <w:p w:rsidR="008B2CB2" w:rsidP="008407E2" w:rsidRDefault="008B2CB2" w14:paraId="1B95A0E4"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80811" w:rsidRDefault="00B80811" w14:paraId="30770147" w14:textId="77777777">
    <w:pPr>
      <w:pStyle w:val="Header"/>
    </w:pPr>
  </w:p>
</w:hdr>
</file>

<file path=word/header2.xml><?xml version="1.0" encoding="utf-8"?>
<w:hdr xmlns:a="http://schemas.openxmlformats.org/drawingml/2006/main" xmlns:pic="http://schemas.openxmlformats.org/drawingml/2006/picture" xmlns:a14="http://schemas.microsoft.com/office/drawing/2010/main" xmlns:asvg="http://schemas.microsoft.com/office/drawing/2016/SVG/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407E2" w:rsidP="00507F6E" w:rsidRDefault="002D177D" w14:paraId="702939D2" w14:textId="77777777">
    <w:pPr>
      <w:pStyle w:val="Header"/>
      <w:spacing w:after="600"/>
    </w:pPr>
    <w:r>
      <w:rPr>
        <w:noProof/>
      </w:rPr>
      <w:drawing>
        <wp:inline distT="0" distB="0" distL="0" distR="0" wp14:anchorId="01D4742B" wp14:editId="656E75E0">
          <wp:extent cx="1191555" cy="417044"/>
          <wp:effectExtent l="0" t="0" r="0" b="2540"/>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191555" cy="417044"/>
                  </a:xfrm>
                  <a:prstGeom prst="rect">
                    <a:avLst/>
                  </a:prstGeom>
                </pic:spPr>
              </pic:pic>
            </a:graphicData>
          </a:graphic>
        </wp:inline>
      </w:drawing>
    </w:r>
  </w:p>
</w:hdr>
</file>

<file path=word/header3.xml><?xml version="1.0" encoding="utf-8"?>
<w:hdr xmlns:a="http://schemas.openxmlformats.org/drawingml/2006/main" xmlns:pic="http://schemas.openxmlformats.org/drawingml/2006/picture" xmlns:a14="http://schemas.microsoft.com/office/drawing/2010/main" xmlns:asvg="http://schemas.microsoft.com/office/drawing/2016/SVG/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57C25" w:rsidP="00B641CD" w:rsidRDefault="00B641CD" w14:paraId="60E40330" w14:textId="5E7575A5">
    <w:pPr>
      <w:pStyle w:val="Header"/>
      <w:spacing w:after="600"/>
    </w:pPr>
    <w:r>
      <w:rPr>
        <w:noProof/>
      </w:rPr>
      <w:drawing>
        <wp:inline distT="0" distB="0" distL="0" distR="0" wp14:anchorId="5B2F2B42" wp14:editId="146D8934">
          <wp:extent cx="1191555" cy="417044"/>
          <wp:effectExtent l="0" t="0" r="0" b="254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191555" cy="41704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BE2D0E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722C46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C5EA08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9FE79C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1A60A2C"/>
    <w:lvl w:ilvl="0">
      <w:start w:val="1"/>
      <w:numFmt w:val="bullet"/>
      <w:lvlText w:val=""/>
      <w:lvlJc w:val="left"/>
      <w:pPr>
        <w:tabs>
          <w:tab w:val="num" w:pos="1800"/>
        </w:tabs>
        <w:ind w:left="1800" w:hanging="360"/>
      </w:pPr>
      <w:rPr>
        <w:rFonts w:hint="default" w:ascii="Symbol" w:hAnsi="Symbol"/>
      </w:rPr>
    </w:lvl>
  </w:abstractNum>
  <w:abstractNum w:abstractNumId="5" w15:restartNumberingAfterBreak="0">
    <w:nsid w:val="FFFFFF81"/>
    <w:multiLevelType w:val="singleLevel"/>
    <w:tmpl w:val="B0CC2D80"/>
    <w:lvl w:ilvl="0">
      <w:start w:val="1"/>
      <w:numFmt w:val="bullet"/>
      <w:lvlText w:val=""/>
      <w:lvlJc w:val="left"/>
      <w:pPr>
        <w:tabs>
          <w:tab w:val="num" w:pos="1440"/>
        </w:tabs>
        <w:ind w:left="1440" w:hanging="360"/>
      </w:pPr>
      <w:rPr>
        <w:rFonts w:hint="default" w:ascii="Symbol" w:hAnsi="Symbol"/>
      </w:rPr>
    </w:lvl>
  </w:abstractNum>
  <w:abstractNum w:abstractNumId="6" w15:restartNumberingAfterBreak="0">
    <w:nsid w:val="FFFFFF82"/>
    <w:multiLevelType w:val="singleLevel"/>
    <w:tmpl w:val="5B5E92D0"/>
    <w:lvl w:ilvl="0">
      <w:start w:val="1"/>
      <w:numFmt w:val="bullet"/>
      <w:lvlText w:val=""/>
      <w:lvlJc w:val="left"/>
      <w:pPr>
        <w:tabs>
          <w:tab w:val="num" w:pos="1080"/>
        </w:tabs>
        <w:ind w:left="1080" w:hanging="360"/>
      </w:pPr>
      <w:rPr>
        <w:rFonts w:hint="default" w:ascii="Symbol" w:hAnsi="Symbol"/>
      </w:rPr>
    </w:lvl>
  </w:abstractNum>
  <w:abstractNum w:abstractNumId="7" w15:restartNumberingAfterBreak="0">
    <w:nsid w:val="FFFFFF83"/>
    <w:multiLevelType w:val="singleLevel"/>
    <w:tmpl w:val="08AADD04"/>
    <w:lvl w:ilvl="0">
      <w:start w:val="1"/>
      <w:numFmt w:val="bullet"/>
      <w:lvlText w:val=""/>
      <w:lvlJc w:val="left"/>
      <w:pPr>
        <w:tabs>
          <w:tab w:val="num" w:pos="720"/>
        </w:tabs>
        <w:ind w:left="720" w:hanging="360"/>
      </w:pPr>
      <w:rPr>
        <w:rFonts w:hint="default" w:ascii="Symbol" w:hAnsi="Symbol"/>
      </w:rPr>
    </w:lvl>
  </w:abstractNum>
  <w:abstractNum w:abstractNumId="8" w15:restartNumberingAfterBreak="0">
    <w:nsid w:val="FFFFFF88"/>
    <w:multiLevelType w:val="singleLevel"/>
    <w:tmpl w:val="C06C65D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250A0FA"/>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006B37CD"/>
    <w:multiLevelType w:val="hybridMultilevel"/>
    <w:tmpl w:val="2D7E9C06"/>
    <w:lvl w:ilvl="0" w:tplc="61462266">
      <w:numFmt w:val="bullet"/>
      <w:lvlText w:val="-"/>
      <w:lvlJc w:val="left"/>
      <w:pPr>
        <w:ind w:left="720" w:hanging="360"/>
      </w:pPr>
      <w:rPr>
        <w:rFonts w:hint="default" w:ascii="Arial" w:hAnsi="Arial" w:cs="Arial"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11D82F34"/>
    <w:multiLevelType w:val="hybridMultilevel"/>
    <w:tmpl w:val="993E4862"/>
    <w:lvl w:ilvl="0" w:tplc="C51C6E72">
      <w:numFmt w:val="bullet"/>
      <w:lvlText w:val="-"/>
      <w:lvlJc w:val="left"/>
      <w:pPr>
        <w:ind w:left="720" w:hanging="360"/>
      </w:pPr>
      <w:rPr>
        <w:rFonts w:hint="default" w:ascii="Arial" w:hAnsi="Arial" w:cs="Arial"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23EA7D0A"/>
    <w:multiLevelType w:val="multilevel"/>
    <w:tmpl w:val="1124EE02"/>
    <w:numStyleLink w:val="1aiA"/>
  </w:abstractNum>
  <w:abstractNum w:abstractNumId="13" w15:restartNumberingAfterBreak="0">
    <w:nsid w:val="357B74DD"/>
    <w:multiLevelType w:val="multilevel"/>
    <w:tmpl w:val="1124EE02"/>
    <w:styleLink w:val="1ai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upp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504C34DA"/>
    <w:multiLevelType w:val="hybridMultilevel"/>
    <w:tmpl w:val="E536E77A"/>
    <w:lvl w:ilvl="0" w:tplc="28E67952">
      <w:numFmt w:val="bullet"/>
      <w:lvlText w:val="-"/>
      <w:lvlJc w:val="left"/>
      <w:pPr>
        <w:ind w:left="410" w:hanging="360"/>
      </w:pPr>
      <w:rPr>
        <w:rFonts w:hint="default" w:ascii="Calibri" w:hAnsi="Calibri" w:cs="Calibri" w:eastAsiaTheme="minorHAnsi"/>
      </w:rPr>
    </w:lvl>
    <w:lvl w:ilvl="1" w:tplc="04090003" w:tentative="1">
      <w:start w:val="1"/>
      <w:numFmt w:val="bullet"/>
      <w:lvlText w:val="o"/>
      <w:lvlJc w:val="left"/>
      <w:pPr>
        <w:ind w:left="1130" w:hanging="360"/>
      </w:pPr>
      <w:rPr>
        <w:rFonts w:hint="default" w:ascii="Courier New" w:hAnsi="Courier New" w:cs="Courier New"/>
      </w:rPr>
    </w:lvl>
    <w:lvl w:ilvl="2" w:tplc="04090005" w:tentative="1">
      <w:start w:val="1"/>
      <w:numFmt w:val="bullet"/>
      <w:lvlText w:val=""/>
      <w:lvlJc w:val="left"/>
      <w:pPr>
        <w:ind w:left="1850" w:hanging="360"/>
      </w:pPr>
      <w:rPr>
        <w:rFonts w:hint="default" w:ascii="Wingdings" w:hAnsi="Wingdings"/>
      </w:rPr>
    </w:lvl>
    <w:lvl w:ilvl="3" w:tplc="04090001" w:tentative="1">
      <w:start w:val="1"/>
      <w:numFmt w:val="bullet"/>
      <w:lvlText w:val=""/>
      <w:lvlJc w:val="left"/>
      <w:pPr>
        <w:ind w:left="2570" w:hanging="360"/>
      </w:pPr>
      <w:rPr>
        <w:rFonts w:hint="default" w:ascii="Symbol" w:hAnsi="Symbol"/>
      </w:rPr>
    </w:lvl>
    <w:lvl w:ilvl="4" w:tplc="04090003" w:tentative="1">
      <w:start w:val="1"/>
      <w:numFmt w:val="bullet"/>
      <w:lvlText w:val="o"/>
      <w:lvlJc w:val="left"/>
      <w:pPr>
        <w:ind w:left="3290" w:hanging="360"/>
      </w:pPr>
      <w:rPr>
        <w:rFonts w:hint="default" w:ascii="Courier New" w:hAnsi="Courier New" w:cs="Courier New"/>
      </w:rPr>
    </w:lvl>
    <w:lvl w:ilvl="5" w:tplc="04090005" w:tentative="1">
      <w:start w:val="1"/>
      <w:numFmt w:val="bullet"/>
      <w:lvlText w:val=""/>
      <w:lvlJc w:val="left"/>
      <w:pPr>
        <w:ind w:left="4010" w:hanging="360"/>
      </w:pPr>
      <w:rPr>
        <w:rFonts w:hint="default" w:ascii="Wingdings" w:hAnsi="Wingdings"/>
      </w:rPr>
    </w:lvl>
    <w:lvl w:ilvl="6" w:tplc="04090001" w:tentative="1">
      <w:start w:val="1"/>
      <w:numFmt w:val="bullet"/>
      <w:lvlText w:val=""/>
      <w:lvlJc w:val="left"/>
      <w:pPr>
        <w:ind w:left="4730" w:hanging="360"/>
      </w:pPr>
      <w:rPr>
        <w:rFonts w:hint="default" w:ascii="Symbol" w:hAnsi="Symbol"/>
      </w:rPr>
    </w:lvl>
    <w:lvl w:ilvl="7" w:tplc="04090003" w:tentative="1">
      <w:start w:val="1"/>
      <w:numFmt w:val="bullet"/>
      <w:lvlText w:val="o"/>
      <w:lvlJc w:val="left"/>
      <w:pPr>
        <w:ind w:left="5450" w:hanging="360"/>
      </w:pPr>
      <w:rPr>
        <w:rFonts w:hint="default" w:ascii="Courier New" w:hAnsi="Courier New" w:cs="Courier New"/>
      </w:rPr>
    </w:lvl>
    <w:lvl w:ilvl="8" w:tplc="04090005" w:tentative="1">
      <w:start w:val="1"/>
      <w:numFmt w:val="bullet"/>
      <w:lvlText w:val=""/>
      <w:lvlJc w:val="left"/>
      <w:pPr>
        <w:ind w:left="6170" w:hanging="360"/>
      </w:pPr>
      <w:rPr>
        <w:rFonts w:hint="default" w:ascii="Wingdings" w:hAnsi="Wingdings"/>
      </w:rPr>
    </w:lvl>
  </w:abstractNum>
  <w:abstractNum w:abstractNumId="15" w15:restartNumberingAfterBreak="0">
    <w:nsid w:val="6A187578"/>
    <w:multiLevelType w:val="hybridMultilevel"/>
    <w:tmpl w:val="4BF2E3EC"/>
    <w:lvl w:ilvl="0" w:tplc="727A4570">
      <w:numFmt w:val="bullet"/>
      <w:lvlText w:val="-"/>
      <w:lvlJc w:val="left"/>
      <w:pPr>
        <w:ind w:left="720" w:hanging="360"/>
      </w:pPr>
      <w:rPr>
        <w:rFonts w:hint="default" w:ascii="Arial" w:hAnsi="Arial" w:cs="Arial"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72880D1C"/>
    <w:multiLevelType w:val="hybridMultilevel"/>
    <w:tmpl w:val="F14EC786"/>
    <w:lvl w:ilvl="0" w:tplc="939A22CA">
      <w:numFmt w:val="bullet"/>
      <w:lvlText w:val="-"/>
      <w:lvlJc w:val="left"/>
      <w:pPr>
        <w:ind w:left="720" w:hanging="360"/>
      </w:pPr>
      <w:rPr>
        <w:rFonts w:hint="default" w:ascii="Arial" w:hAnsi="Arial" w:cs="Arial"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multiLevelType w:val="singleLevel"/>
    <w:lvl w:ilvl="0">
      <w:start w:val="1"/>
      <w:numFmt w:val="decimal"/>
      <w:lvlText w:val="%1."/>
      <w:pPr>
        <w:ind w:left="420" w:hanging="360"/>
      </w:pPr>
    </w:lvl>
  </w:abstractNum>
  <w:abstractNum w:abstractNumId="19">
    <w:multiLevelType w:val="singleLevel"/>
    <w:lvl w:ilvl="0">
      <w:numFmt w:val="bullet"/>
      <w:lvlText w:val="•"/>
      <w:pPr>
        <w:ind w:left="420" w:hanging="360"/>
      </w:pPr>
    </w:lvl>
  </w:abstractNum>
  <w:abstractNum w:abstractNumId="20">
    <w:multiLevelType w:val="singleLevel"/>
    <w:lvl w:ilvl="0">
      <w:numFmt w:val="bullet"/>
      <w:lvlText w:val="▪"/>
      <w:pPr>
        <w:ind w:left="420" w:hanging="360"/>
      </w:pPr>
    </w:lvl>
  </w:abstractNum>
  <w:abstractNum w:abstractNumId="21">
    <w:multiLevelType w:val="singleLevel"/>
    <w:lvl w:ilvl="0">
      <w:numFmt w:val="bullet"/>
      <w:lvlText w:val="o"/>
      <w:pPr>
        <w:ind w:left="420" w:hanging="360"/>
      </w:pPr>
    </w:lvl>
  </w:abstractNum>
  <w:abstractNum w:abstractNumId="22">
    <w:multiLevelType w:val="singleLevel"/>
    <w:lvl w:ilvl="0">
      <w:start w:val="1"/>
      <w:numFmt w:val="upperLetter"/>
      <w:lvlText w:val="%1."/>
      <w:pPr>
        <w:ind w:left="420" w:hanging="360"/>
      </w:pPr>
    </w:lvl>
  </w:abstractNum>
  <w:abstractNum w:abstractNumId="23">
    <w:multiLevelType w:val="singleLevel"/>
    <w:lvl w:ilvl="0">
      <w:start w:val="1"/>
      <w:numFmt w:val="lowerLetter"/>
      <w:lvlText w:val="%1."/>
      <w:pPr>
        <w:ind w:left="420" w:hanging="360"/>
      </w:pPr>
    </w:lvl>
  </w:abstractNum>
  <w:abstractNum w:abstractNumId="24">
    <w:multiLevelType w:val="singleLevel"/>
    <w:lvl w:ilvl="0">
      <w:start w:val="1"/>
      <w:numFmt w:val="upperRoman"/>
      <w:lvlText w:val="%1."/>
      <w:pPr>
        <w:ind w:left="420" w:hanging="360"/>
      </w:pPr>
    </w:lvl>
  </w:abstractNum>
  <w:abstractNum w:abstractNumId="25">
    <w:multiLevelType w:val="singleLevel"/>
    <w:lvl w:ilvl="0">
      <w:start w:val="1"/>
      <w:numFmt w:val="lowerRoman"/>
      <w:lvlText w:val="%1."/>
      <w:pPr>
        <w:ind w:left="420" w:hanging="360"/>
      </w:pPr>
    </w:lvl>
  </w:abstractNum>
  <w:abstractNum w:abstractNumId="17" w15:restartNumberingAfterBreak="0">
    <w:nsid w:val="74437C54"/>
    <w:multiLevelType w:val="hybridMultilevel"/>
    <w:tmpl w:val="51ACB4C8"/>
    <w:lvl w:ilvl="0" w:tplc="CEB45F4C">
      <w:numFmt w:val="bullet"/>
      <w:lvlText w:val="-"/>
      <w:lvlJc w:val="left"/>
      <w:pPr>
        <w:ind w:left="1512" w:hanging="360"/>
      </w:pPr>
      <w:rPr>
        <w:rFonts w:hint="default" w:ascii="Arial" w:hAnsi="Arial" w:cs="Arial" w:eastAsiaTheme="minorHAnsi"/>
      </w:rPr>
    </w:lvl>
    <w:lvl w:ilvl="1" w:tplc="04090003" w:tentative="1">
      <w:start w:val="1"/>
      <w:numFmt w:val="bullet"/>
      <w:lvlText w:val="o"/>
      <w:lvlJc w:val="left"/>
      <w:pPr>
        <w:ind w:left="2232" w:hanging="360"/>
      </w:pPr>
      <w:rPr>
        <w:rFonts w:hint="default" w:ascii="Courier New" w:hAnsi="Courier New" w:cs="Courier New"/>
      </w:rPr>
    </w:lvl>
    <w:lvl w:ilvl="2" w:tplc="04090005" w:tentative="1">
      <w:start w:val="1"/>
      <w:numFmt w:val="bullet"/>
      <w:lvlText w:val=""/>
      <w:lvlJc w:val="left"/>
      <w:pPr>
        <w:ind w:left="2952" w:hanging="360"/>
      </w:pPr>
      <w:rPr>
        <w:rFonts w:hint="default" w:ascii="Wingdings" w:hAnsi="Wingdings"/>
      </w:rPr>
    </w:lvl>
    <w:lvl w:ilvl="3" w:tplc="04090001" w:tentative="1">
      <w:start w:val="1"/>
      <w:numFmt w:val="bullet"/>
      <w:lvlText w:val=""/>
      <w:lvlJc w:val="left"/>
      <w:pPr>
        <w:ind w:left="3672" w:hanging="360"/>
      </w:pPr>
      <w:rPr>
        <w:rFonts w:hint="default" w:ascii="Symbol" w:hAnsi="Symbol"/>
      </w:rPr>
    </w:lvl>
    <w:lvl w:ilvl="4" w:tplc="04090003" w:tentative="1">
      <w:start w:val="1"/>
      <w:numFmt w:val="bullet"/>
      <w:lvlText w:val="o"/>
      <w:lvlJc w:val="left"/>
      <w:pPr>
        <w:ind w:left="4392" w:hanging="360"/>
      </w:pPr>
      <w:rPr>
        <w:rFonts w:hint="default" w:ascii="Courier New" w:hAnsi="Courier New" w:cs="Courier New"/>
      </w:rPr>
    </w:lvl>
    <w:lvl w:ilvl="5" w:tplc="04090005" w:tentative="1">
      <w:start w:val="1"/>
      <w:numFmt w:val="bullet"/>
      <w:lvlText w:val=""/>
      <w:lvlJc w:val="left"/>
      <w:pPr>
        <w:ind w:left="5112" w:hanging="360"/>
      </w:pPr>
      <w:rPr>
        <w:rFonts w:hint="default" w:ascii="Wingdings" w:hAnsi="Wingdings"/>
      </w:rPr>
    </w:lvl>
    <w:lvl w:ilvl="6" w:tplc="04090001" w:tentative="1">
      <w:start w:val="1"/>
      <w:numFmt w:val="bullet"/>
      <w:lvlText w:val=""/>
      <w:lvlJc w:val="left"/>
      <w:pPr>
        <w:ind w:left="5832" w:hanging="360"/>
      </w:pPr>
      <w:rPr>
        <w:rFonts w:hint="default" w:ascii="Symbol" w:hAnsi="Symbol"/>
      </w:rPr>
    </w:lvl>
    <w:lvl w:ilvl="7" w:tplc="04090003" w:tentative="1">
      <w:start w:val="1"/>
      <w:numFmt w:val="bullet"/>
      <w:lvlText w:val="o"/>
      <w:lvlJc w:val="left"/>
      <w:pPr>
        <w:ind w:left="6552" w:hanging="360"/>
      </w:pPr>
      <w:rPr>
        <w:rFonts w:hint="default" w:ascii="Courier New" w:hAnsi="Courier New" w:cs="Courier New"/>
      </w:rPr>
    </w:lvl>
    <w:lvl w:ilvl="8" w:tplc="04090005" w:tentative="1">
      <w:start w:val="1"/>
      <w:numFmt w:val="bullet"/>
      <w:lvlText w:val=""/>
      <w:lvlJc w:val="left"/>
      <w:pPr>
        <w:ind w:left="7272" w:hanging="360"/>
      </w:pPr>
      <w:rPr>
        <w:rFonts w:hint="default" w:ascii="Wingdings" w:hAnsi="Wingdings"/>
      </w:rPr>
    </w:lvl>
  </w:abstractNum>
  <w:num w:numId="1">
    <w:abstractNumId w:val="15"/>
  </w:num>
  <w:num w:numId="2">
    <w:abstractNumId w:val="16"/>
  </w:num>
  <w:num w:numId="3">
    <w:abstractNumId w:val="10"/>
  </w:num>
  <w:num w:numId="4">
    <w:abstractNumId w:val="11"/>
  </w:num>
  <w:num w:numId="5">
    <w:abstractNumId w:val="17"/>
  </w:num>
  <w:num w:numId="6">
    <w:abstractNumId w:val="14"/>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3"/>
  </w:num>
  <w:num w:numId="18">
    <w:abstractNumId w:val="12"/>
  </w:num>
  <w:num w:numId="19">
    <w:abstractNumId w:val="19"/>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873"/>
    <w:rsid w:val="00004322"/>
    <w:rsid w:val="00025B2B"/>
    <w:rsid w:val="00035AF7"/>
    <w:rsid w:val="000634B9"/>
    <w:rsid w:val="00077F75"/>
    <w:rsid w:val="0008479E"/>
    <w:rsid w:val="00093245"/>
    <w:rsid w:val="000A4361"/>
    <w:rsid w:val="000B778F"/>
    <w:rsid w:val="000C2EDD"/>
    <w:rsid w:val="000E0732"/>
    <w:rsid w:val="00161B4A"/>
    <w:rsid w:val="001802A0"/>
    <w:rsid w:val="00197B2F"/>
    <w:rsid w:val="001A2D30"/>
    <w:rsid w:val="001D13A1"/>
    <w:rsid w:val="001E6FBB"/>
    <w:rsid w:val="001F6551"/>
    <w:rsid w:val="00237F85"/>
    <w:rsid w:val="00284035"/>
    <w:rsid w:val="002A08A4"/>
    <w:rsid w:val="002A465B"/>
    <w:rsid w:val="002C6D29"/>
    <w:rsid w:val="002D177D"/>
    <w:rsid w:val="002E5521"/>
    <w:rsid w:val="0030141F"/>
    <w:rsid w:val="00313CC9"/>
    <w:rsid w:val="0035406A"/>
    <w:rsid w:val="003749B6"/>
    <w:rsid w:val="003A0E6D"/>
    <w:rsid w:val="003A3B65"/>
    <w:rsid w:val="003F41D1"/>
    <w:rsid w:val="00405CB3"/>
    <w:rsid w:val="00421ABE"/>
    <w:rsid w:val="00422BE7"/>
    <w:rsid w:val="00422BE8"/>
    <w:rsid w:val="004340A6"/>
    <w:rsid w:val="00471952"/>
    <w:rsid w:val="00485DE4"/>
    <w:rsid w:val="00490F49"/>
    <w:rsid w:val="004A33CE"/>
    <w:rsid w:val="004B616C"/>
    <w:rsid w:val="004C40D5"/>
    <w:rsid w:val="004E2B13"/>
    <w:rsid w:val="00507F6E"/>
    <w:rsid w:val="00556FAB"/>
    <w:rsid w:val="005633FE"/>
    <w:rsid w:val="00574B1A"/>
    <w:rsid w:val="005A12EF"/>
    <w:rsid w:val="005C2C83"/>
    <w:rsid w:val="005E300E"/>
    <w:rsid w:val="006158EB"/>
    <w:rsid w:val="00636700"/>
    <w:rsid w:val="0066374E"/>
    <w:rsid w:val="00670DE9"/>
    <w:rsid w:val="00682D60"/>
    <w:rsid w:val="006906AD"/>
    <w:rsid w:val="006B20FF"/>
    <w:rsid w:val="006C4214"/>
    <w:rsid w:val="006C53B8"/>
    <w:rsid w:val="006E4DBD"/>
    <w:rsid w:val="006F4E12"/>
    <w:rsid w:val="00704DE8"/>
    <w:rsid w:val="00725109"/>
    <w:rsid w:val="0073160D"/>
    <w:rsid w:val="007336B4"/>
    <w:rsid w:val="007541FC"/>
    <w:rsid w:val="00755240"/>
    <w:rsid w:val="00761F2A"/>
    <w:rsid w:val="00764CD4"/>
    <w:rsid w:val="00773EA0"/>
    <w:rsid w:val="0079515F"/>
    <w:rsid w:val="007B5830"/>
    <w:rsid w:val="007F060E"/>
    <w:rsid w:val="008016C9"/>
    <w:rsid w:val="008020A8"/>
    <w:rsid w:val="008407E2"/>
    <w:rsid w:val="008816BB"/>
    <w:rsid w:val="00896739"/>
    <w:rsid w:val="008B2CB2"/>
    <w:rsid w:val="008B4BE2"/>
    <w:rsid w:val="008D1980"/>
    <w:rsid w:val="008E0D40"/>
    <w:rsid w:val="008E0D74"/>
    <w:rsid w:val="0093444D"/>
    <w:rsid w:val="0094721F"/>
    <w:rsid w:val="0097103A"/>
    <w:rsid w:val="0098047C"/>
    <w:rsid w:val="00994FC4"/>
    <w:rsid w:val="009B5183"/>
    <w:rsid w:val="009D1541"/>
    <w:rsid w:val="009E50EE"/>
    <w:rsid w:val="00A04E0F"/>
    <w:rsid w:val="00A14B44"/>
    <w:rsid w:val="00A17914"/>
    <w:rsid w:val="00A2157A"/>
    <w:rsid w:val="00A3660C"/>
    <w:rsid w:val="00A4620B"/>
    <w:rsid w:val="00A5071B"/>
    <w:rsid w:val="00A53B7A"/>
    <w:rsid w:val="00A7348F"/>
    <w:rsid w:val="00A768A2"/>
    <w:rsid w:val="00A966E5"/>
    <w:rsid w:val="00AC1559"/>
    <w:rsid w:val="00AD1164"/>
    <w:rsid w:val="00B10B36"/>
    <w:rsid w:val="00B641CD"/>
    <w:rsid w:val="00B665B5"/>
    <w:rsid w:val="00B750A4"/>
    <w:rsid w:val="00B80811"/>
    <w:rsid w:val="00B832FC"/>
    <w:rsid w:val="00BA085E"/>
    <w:rsid w:val="00BC7873"/>
    <w:rsid w:val="00BD03CF"/>
    <w:rsid w:val="00BF0A32"/>
    <w:rsid w:val="00C303AC"/>
    <w:rsid w:val="00C45D4B"/>
    <w:rsid w:val="00C637FE"/>
    <w:rsid w:val="00C86C26"/>
    <w:rsid w:val="00C93D03"/>
    <w:rsid w:val="00CB14D1"/>
    <w:rsid w:val="00CC447A"/>
    <w:rsid w:val="00CD11B4"/>
    <w:rsid w:val="00CE6CE2"/>
    <w:rsid w:val="00D05710"/>
    <w:rsid w:val="00D219D6"/>
    <w:rsid w:val="00D31F26"/>
    <w:rsid w:val="00D3657B"/>
    <w:rsid w:val="00D41754"/>
    <w:rsid w:val="00D43357"/>
    <w:rsid w:val="00D9752D"/>
    <w:rsid w:val="00DA1306"/>
    <w:rsid w:val="00DD4DE7"/>
    <w:rsid w:val="00DF569D"/>
    <w:rsid w:val="00E00030"/>
    <w:rsid w:val="00E02C92"/>
    <w:rsid w:val="00E2036B"/>
    <w:rsid w:val="00E442D0"/>
    <w:rsid w:val="00E57C25"/>
    <w:rsid w:val="00E8516D"/>
    <w:rsid w:val="00E925A7"/>
    <w:rsid w:val="00E96398"/>
    <w:rsid w:val="00EB04B9"/>
    <w:rsid w:val="00EB4E6C"/>
    <w:rsid w:val="00ED197F"/>
    <w:rsid w:val="00F243E0"/>
    <w:rsid w:val="00F90D69"/>
    <w:rsid w:val="00FA787A"/>
    <w:rsid w:val="00FB54FC"/>
    <w:rsid w:val="00FC6796"/>
    <w:rsid w:val="00FE2888"/>
    <w:rsid w:val="00FE2D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1F7020"/>
  <w15:chartTrackingRefBased/>
  <w15:docId w15:val="{11264F3B-CA44-0D43-9F09-917800D12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semiHidden="1" w:unhideWhenUsed="1" w:qFormat="1"/>
    <w:lsdException w:name="Emphasis" w:uiPriority="20"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semiHidden="1" w:unhideWhenUsed="1" w:qFormat="1"/>
    <w:lsdException w:name="Intense Quote" w:uiPriority="30"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unhideWhenUsed="1" w:qFormat="1"/>
    <w:lsdException w:name="Intense Emphasis" w:uiPriority="21" w:semiHidden="1" w:unhideWhenUsed="1" w:qFormat="1"/>
    <w:lsdException w:name="Subtle Reference" w:uiPriority="31" w:semiHidden="1" w:unhideWhenUsed="1" w:qFormat="1"/>
    <w:lsdException w:name="Intense Reference" w:uiPriority="32" w:semiHidden="1" w:unhideWhenUsed="1" w:qFormat="1"/>
    <w:lsdException w:name="Book Title" w:uiPriority="33" w:semiHidden="1" w:unhideWhenUsed="1"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unhideWhenUsed/>
    <w:qFormat/>
    <w:rsid w:val="00B750A4"/>
    <w:pPr>
      <w:spacing w:after="240" w:line="276" w:lineRule="auto"/>
    </w:pPr>
    <w:rPr>
      <w:rFonts w:ascii="Arial" w:hAnsi="Arial"/>
      <w:sz w:val="20"/>
    </w:rPr>
  </w:style>
  <w:style w:type="paragraph" w:styleId="Heading1">
    <w:name w:val="heading 1"/>
    <w:basedOn w:val="Normal"/>
    <w:next w:val="Normal"/>
    <w:link w:val="Heading1Char"/>
    <w:uiPriority w:val="9"/>
    <w:unhideWhenUsed/>
    <w:qFormat/>
    <w:rsid w:val="00FE2D8A"/>
    <w:pPr>
      <w:keepNext/>
      <w:keepLines/>
      <w:spacing w:before="240" w:line="240" w:lineRule="auto"/>
      <w:outlineLvl w:val="0"/>
    </w:pPr>
    <w:rPr>
      <w:rFonts w:cs="Arial" w:eastAsiaTheme="majorEastAsia"/>
      <w:b/>
      <w:color w:val="AE132A"/>
      <w:sz w:val="32"/>
      <w:szCs w:val="32"/>
    </w:rPr>
  </w:style>
  <w:style w:type="paragraph" w:styleId="Heading2">
    <w:name w:val="heading 2"/>
    <w:basedOn w:val="Normal"/>
    <w:next w:val="Normal"/>
    <w:link w:val="Heading2Char"/>
    <w:uiPriority w:val="9"/>
    <w:unhideWhenUsed/>
    <w:qFormat/>
    <w:rsid w:val="00FE2D8A"/>
    <w:pPr>
      <w:keepNext/>
      <w:keepLines/>
      <w:spacing w:before="240" w:after="320" w:line="240" w:lineRule="auto"/>
      <w:outlineLvl w:val="1"/>
    </w:pPr>
    <w:rPr>
      <w:rFonts w:cs="Arial" w:eastAsiaTheme="majorEastAsia"/>
      <w:color w:val="000000" w:themeColor="text1"/>
      <w:sz w:val="32"/>
      <w:szCs w:val="32"/>
    </w:rPr>
  </w:style>
  <w:style w:type="paragraph" w:styleId="Heading3">
    <w:name w:val="heading 3"/>
    <w:basedOn w:val="Heading2"/>
    <w:next w:val="Normal"/>
    <w:link w:val="Heading3Char"/>
    <w:uiPriority w:val="9"/>
    <w:unhideWhenUsed/>
    <w:qFormat/>
    <w:rsid w:val="00FE2D8A"/>
    <w:pPr>
      <w:outlineLvl w:val="2"/>
    </w:pPr>
    <w:rPr>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PlaceholderText">
    <w:name w:val="Placeholder Text"/>
    <w:basedOn w:val="DefaultParagraphFont"/>
    <w:uiPriority w:val="99"/>
    <w:unhideWhenUsed/>
    <w:rsid w:val="00EB4E6C"/>
    <w:rPr>
      <w:color w:val="808080"/>
    </w:rPr>
  </w:style>
  <w:style w:type="paragraph" w:styleId="IndentedCopy" w:customStyle="1">
    <w:name w:val="Indented Copy"/>
    <w:qFormat/>
    <w:rsid w:val="009B5183"/>
    <w:pPr>
      <w:spacing w:before="140" w:after="140" w:line="360" w:lineRule="auto"/>
      <w:ind w:left="1008"/>
    </w:pPr>
    <w:rPr>
      <w:rFonts w:ascii="Arial" w:hAnsi="Arial" w:cs="Arial"/>
      <w:sz w:val="20"/>
      <w:szCs w:val="20"/>
    </w:rPr>
  </w:style>
  <w:style w:type="paragraph" w:styleId="Header">
    <w:name w:val="header"/>
    <w:basedOn w:val="Normal"/>
    <w:link w:val="HeaderChar"/>
    <w:uiPriority w:val="99"/>
    <w:unhideWhenUsed/>
    <w:rsid w:val="008407E2"/>
    <w:pPr>
      <w:tabs>
        <w:tab w:val="center" w:pos="4680"/>
        <w:tab w:val="right" w:pos="9360"/>
      </w:tabs>
      <w:spacing w:after="0" w:line="240" w:lineRule="auto"/>
    </w:pPr>
  </w:style>
  <w:style w:type="character" w:styleId="HeaderChar" w:customStyle="1">
    <w:name w:val="Header Char"/>
    <w:basedOn w:val="DefaultParagraphFont"/>
    <w:link w:val="Header"/>
    <w:uiPriority w:val="99"/>
    <w:rsid w:val="00B750A4"/>
    <w:rPr>
      <w:rFonts w:ascii="Arial" w:hAnsi="Arial"/>
      <w:sz w:val="20"/>
    </w:rPr>
  </w:style>
  <w:style w:type="paragraph" w:styleId="Footer">
    <w:name w:val="footer"/>
    <w:basedOn w:val="Normal"/>
    <w:link w:val="FooterChar"/>
    <w:uiPriority w:val="99"/>
    <w:unhideWhenUsed/>
    <w:rsid w:val="008407E2"/>
    <w:pPr>
      <w:tabs>
        <w:tab w:val="center" w:pos="4680"/>
        <w:tab w:val="right" w:pos="9360"/>
      </w:tabs>
      <w:spacing w:after="0" w:line="240" w:lineRule="auto"/>
    </w:pPr>
  </w:style>
  <w:style w:type="character" w:styleId="FooterChar" w:customStyle="1">
    <w:name w:val="Footer Char"/>
    <w:basedOn w:val="DefaultParagraphFont"/>
    <w:link w:val="Footer"/>
    <w:uiPriority w:val="99"/>
    <w:rsid w:val="00B750A4"/>
    <w:rPr>
      <w:rFonts w:ascii="Arial" w:hAnsi="Arial"/>
      <w:sz w:val="20"/>
    </w:rPr>
  </w:style>
  <w:style w:type="paragraph" w:styleId="Region" w:customStyle="1">
    <w:name w:val="Region"/>
    <w:next w:val="IndentedCopy"/>
    <w:qFormat/>
    <w:rsid w:val="00994FC4"/>
    <w:pPr>
      <w:spacing w:before="360" w:after="0"/>
      <w:ind w:left="1008"/>
    </w:pPr>
    <w:rPr>
      <w:rFonts w:ascii="Arial" w:hAnsi="Arial" w:cs="Arial"/>
      <w:b/>
      <w:color w:val="AD122A"/>
      <w:sz w:val="28"/>
      <w:szCs w:val="28"/>
    </w:rPr>
  </w:style>
  <w:style w:type="table" w:styleId="TableGrid">
    <w:name w:val="Table Grid"/>
    <w:basedOn w:val="TableNormal"/>
    <w:uiPriority w:val="39"/>
    <w:rsid w:val="006C421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Spacing">
    <w:name w:val="No Spacing"/>
    <w:uiPriority w:val="1"/>
    <w:unhideWhenUsed/>
    <w:qFormat/>
    <w:rsid w:val="006C4214"/>
    <w:pPr>
      <w:spacing w:after="0" w:line="240" w:lineRule="auto"/>
    </w:pPr>
  </w:style>
  <w:style w:type="paragraph" w:styleId="Table" w:customStyle="1">
    <w:name w:val="Table"/>
    <w:qFormat/>
    <w:rsid w:val="0066374E"/>
    <w:rPr>
      <w:rFonts w:ascii="Arial" w:hAnsi="Arial" w:cs="Arial"/>
      <w:sz w:val="20"/>
      <w:szCs w:val="20"/>
    </w:rPr>
  </w:style>
  <w:style w:type="paragraph" w:styleId="ListParagraph">
    <w:name w:val="List Paragraph"/>
    <w:basedOn w:val="Normal"/>
    <w:uiPriority w:val="34"/>
    <w:unhideWhenUsed/>
    <w:qFormat/>
    <w:rsid w:val="008D1980"/>
    <w:pPr>
      <w:spacing w:line="360" w:lineRule="auto"/>
      <w:ind w:left="720"/>
      <w:contextualSpacing/>
    </w:pPr>
  </w:style>
  <w:style w:type="paragraph" w:styleId="Body" w:customStyle="1">
    <w:name w:val="Body"/>
    <w:qFormat/>
    <w:rsid w:val="00A14B44"/>
    <w:pPr>
      <w:spacing w:before="60" w:after="0"/>
    </w:pPr>
    <w:rPr>
      <w:rFonts w:ascii="Arial" w:hAnsi="Arial" w:cs="Arial"/>
      <w:sz w:val="20"/>
      <w:szCs w:val="20"/>
    </w:rPr>
  </w:style>
  <w:style w:type="paragraph" w:styleId="CoverDate" w:customStyle="1">
    <w:name w:val="CoverDate"/>
    <w:qFormat/>
    <w:rsid w:val="00A14B44"/>
    <w:pPr>
      <w:spacing w:before="240" w:after="0"/>
    </w:pPr>
    <w:rPr>
      <w:rFonts w:ascii="Arial" w:hAnsi="Arial" w:cs="Arial"/>
      <w:sz w:val="24"/>
      <w:szCs w:val="24"/>
    </w:rPr>
  </w:style>
  <w:style w:type="paragraph" w:styleId="Footertext" w:customStyle="1">
    <w:name w:val="Footer text"/>
    <w:basedOn w:val="Normal"/>
    <w:qFormat/>
    <w:rsid w:val="000E0732"/>
    <w:pPr>
      <w:tabs>
        <w:tab w:val="center" w:pos="4680"/>
        <w:tab w:val="right" w:pos="9360"/>
      </w:tabs>
      <w:spacing w:after="0" w:line="240" w:lineRule="auto"/>
    </w:pPr>
    <w:rPr>
      <w:rFonts w:cs="Arial"/>
      <w:bCs/>
      <w:color w:val="AE132A"/>
      <w:sz w:val="16"/>
      <w:szCs w:val="16"/>
    </w:rPr>
  </w:style>
  <w:style w:type="paragraph" w:styleId="TOCHeading">
    <w:name w:val="TOC Heading"/>
    <w:next w:val="Normal"/>
    <w:uiPriority w:val="39"/>
    <w:unhideWhenUsed/>
    <w:qFormat/>
    <w:rsid w:val="00FE2D8A"/>
    <w:rPr>
      <w:rFonts w:ascii="Arial" w:hAnsi="Arial" w:eastAsiaTheme="majorEastAsia" w:cstheme="majorBidi"/>
      <w:b/>
      <w:color w:val="AE132A"/>
      <w:sz w:val="32"/>
      <w:szCs w:val="32"/>
    </w:rPr>
  </w:style>
  <w:style w:type="character" w:styleId="Heading1Char" w:customStyle="1">
    <w:name w:val="Heading 1 Char"/>
    <w:basedOn w:val="DefaultParagraphFont"/>
    <w:link w:val="Heading1"/>
    <w:uiPriority w:val="9"/>
    <w:rsid w:val="00B750A4"/>
    <w:rPr>
      <w:rFonts w:ascii="Arial" w:hAnsi="Arial" w:cs="Arial" w:eastAsiaTheme="majorEastAsia"/>
      <w:b/>
      <w:color w:val="AE132A"/>
      <w:sz w:val="32"/>
      <w:szCs w:val="32"/>
    </w:rPr>
  </w:style>
  <w:style w:type="paragraph" w:styleId="TOC1">
    <w:name w:val="toc 1"/>
    <w:basedOn w:val="Normal"/>
    <w:next w:val="Normal"/>
    <w:autoRedefine/>
    <w:uiPriority w:val="39"/>
    <w:unhideWhenUsed/>
    <w:rsid w:val="00FE2D8A"/>
    <w:pPr>
      <w:spacing w:after="100"/>
    </w:pPr>
    <w:rPr>
      <w:sz w:val="16"/>
    </w:rPr>
  </w:style>
  <w:style w:type="character" w:styleId="Hyperlink">
    <w:name w:val="Hyperlink"/>
    <w:basedOn w:val="DefaultParagraphFont"/>
    <w:uiPriority w:val="99"/>
    <w:unhideWhenUsed/>
    <w:rsid w:val="008020A8"/>
    <w:rPr>
      <w:color w:val="EE3135" w:themeColor="hyperlink"/>
      <w:u w:val="single"/>
    </w:rPr>
  </w:style>
  <w:style w:type="paragraph" w:styleId="Content" w:customStyle="1">
    <w:name w:val="Content"/>
    <w:link w:val="ContentChar"/>
    <w:qFormat/>
    <w:rsid w:val="003A3B65"/>
    <w:pPr>
      <w:tabs>
        <w:tab w:val="right" w:pos="9350"/>
      </w:tabs>
    </w:pPr>
    <w:rPr>
      <w:rFonts w:ascii="Arial" w:hAnsi="Arial"/>
      <w:sz w:val="20"/>
    </w:rPr>
  </w:style>
  <w:style w:type="character" w:styleId="ContentChar" w:customStyle="1">
    <w:name w:val="Content Char"/>
    <w:basedOn w:val="DefaultParagraphFont"/>
    <w:link w:val="Content"/>
    <w:rsid w:val="003A3B65"/>
    <w:rPr>
      <w:rFonts w:ascii="Arial" w:hAnsi="Arial"/>
      <w:sz w:val="20"/>
    </w:rPr>
  </w:style>
  <w:style w:type="character" w:styleId="Heading2Char" w:customStyle="1">
    <w:name w:val="Heading 2 Char"/>
    <w:basedOn w:val="DefaultParagraphFont"/>
    <w:link w:val="Heading2"/>
    <w:uiPriority w:val="9"/>
    <w:rsid w:val="00B750A4"/>
    <w:rPr>
      <w:rFonts w:ascii="Arial" w:hAnsi="Arial" w:cs="Arial" w:eastAsiaTheme="majorEastAsia"/>
      <w:color w:val="000000" w:themeColor="text1"/>
      <w:sz w:val="32"/>
      <w:szCs w:val="32"/>
    </w:rPr>
  </w:style>
  <w:style w:type="character" w:styleId="Heading3Char" w:customStyle="1">
    <w:name w:val="Heading 3 Char"/>
    <w:basedOn w:val="DefaultParagraphFont"/>
    <w:link w:val="Heading3"/>
    <w:uiPriority w:val="9"/>
    <w:rsid w:val="00B750A4"/>
    <w:rPr>
      <w:rFonts w:ascii="Arial" w:hAnsi="Arial" w:cs="Arial" w:eastAsiaTheme="majorEastAsia"/>
      <w:color w:val="000000" w:themeColor="text1"/>
      <w:sz w:val="24"/>
      <w:szCs w:val="24"/>
    </w:rPr>
  </w:style>
  <w:style w:type="paragraph" w:styleId="Title">
    <w:name w:val="Title"/>
    <w:basedOn w:val="Normal"/>
    <w:next w:val="Normal"/>
    <w:link w:val="TitleChar"/>
    <w:autoRedefine/>
    <w:uiPriority w:val="10"/>
    <w:unhideWhenUsed/>
    <w:qFormat/>
    <w:rsid w:val="00FE2D8A"/>
    <w:pPr>
      <w:spacing w:before="840" w:after="0" w:line="240" w:lineRule="auto"/>
      <w:contextualSpacing/>
    </w:pPr>
    <w:rPr>
      <w:rFonts w:ascii="Arial Bold" w:hAnsi="Arial Bold" w:eastAsiaTheme="majorEastAsia" w:cstheme="majorBidi"/>
      <w:b/>
      <w:kern w:val="28"/>
      <w:sz w:val="44"/>
      <w:szCs w:val="56"/>
    </w:rPr>
  </w:style>
  <w:style w:type="character" w:styleId="TitleChar" w:customStyle="1">
    <w:name w:val="Title Char"/>
    <w:basedOn w:val="DefaultParagraphFont"/>
    <w:link w:val="Title"/>
    <w:uiPriority w:val="10"/>
    <w:rsid w:val="00B750A4"/>
    <w:rPr>
      <w:rFonts w:ascii="Arial Bold" w:hAnsi="Arial Bold" w:eastAsiaTheme="majorEastAsia" w:cstheme="majorBidi"/>
      <w:b/>
      <w:kern w:val="28"/>
      <w:sz w:val="44"/>
      <w:szCs w:val="56"/>
    </w:rPr>
  </w:style>
  <w:style w:type="paragraph" w:styleId="Subtitle">
    <w:name w:val="Subtitle"/>
    <w:basedOn w:val="Heading1"/>
    <w:next w:val="Normal"/>
    <w:link w:val="SubtitleChar"/>
    <w:uiPriority w:val="11"/>
    <w:unhideWhenUsed/>
    <w:qFormat/>
    <w:rsid w:val="00A2157A"/>
    <w:pPr>
      <w:numPr>
        <w:ilvl w:val="1"/>
      </w:numPr>
      <w:spacing w:before="2400" w:after="480"/>
    </w:pPr>
    <w:rPr>
      <w:rFonts w:eastAsiaTheme="minorEastAsia"/>
      <w:b w:val="0"/>
      <w:color w:val="000000" w:themeColor="text1"/>
      <w:sz w:val="44"/>
    </w:rPr>
  </w:style>
  <w:style w:type="character" w:styleId="SubtitleChar" w:customStyle="1">
    <w:name w:val="Subtitle Char"/>
    <w:basedOn w:val="DefaultParagraphFont"/>
    <w:link w:val="Subtitle"/>
    <w:uiPriority w:val="11"/>
    <w:rsid w:val="00A2157A"/>
    <w:rPr>
      <w:rFonts w:ascii="Arial" w:hAnsi="Arial" w:cs="Arial" w:eastAsiaTheme="minorEastAsia"/>
      <w:color w:val="000000" w:themeColor="text1"/>
      <w:sz w:val="44"/>
      <w:szCs w:val="32"/>
    </w:rPr>
  </w:style>
  <w:style w:type="paragraph" w:styleId="BodyText">
    <w:name w:val="Body Text"/>
    <w:basedOn w:val="Normal"/>
    <w:link w:val="BodyTextChar"/>
    <w:uiPriority w:val="99"/>
    <w:unhideWhenUsed/>
    <w:rsid w:val="00FE2D8A"/>
    <w:pPr>
      <w:spacing w:line="360" w:lineRule="auto"/>
    </w:pPr>
  </w:style>
  <w:style w:type="character" w:styleId="BodyTextChar" w:customStyle="1">
    <w:name w:val="Body Text Char"/>
    <w:basedOn w:val="DefaultParagraphFont"/>
    <w:link w:val="BodyText"/>
    <w:uiPriority w:val="99"/>
    <w:rsid w:val="00B750A4"/>
    <w:rPr>
      <w:rFonts w:ascii="Arial" w:hAnsi="Arial"/>
      <w:sz w:val="20"/>
    </w:rPr>
  </w:style>
  <w:style w:type="paragraph" w:styleId="Disclaimer" w:customStyle="1">
    <w:name w:val="Disclaimer"/>
    <w:basedOn w:val="BodyText"/>
    <w:qFormat/>
    <w:rsid w:val="000E0732"/>
    <w:rPr>
      <w:sz w:val="16"/>
    </w:rPr>
  </w:style>
  <w:style w:type="numbering" w:styleId="1aiA" w:customStyle="1">
    <w:name w:val="1. / (a) / (i) / (A)"/>
    <w:uiPriority w:val="99"/>
    <w:rsid w:val="00DA1306"/>
    <w:pPr>
      <w:numPr>
        <w:numId w:val="1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6697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footer" Target="footer3.xml"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styles" Target="styles.xml" Id="rId7" /><Relationship Type="http://schemas.openxmlformats.org/officeDocument/2006/relationships/image" Target="media/image1.png" Id="rId12" /><Relationship Type="http://schemas.openxmlformats.org/officeDocument/2006/relationships/header" Target="header3.xml" Id="rId1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glossaryDocument" Target="glossary/document.xml" Id="rId20"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1.xml" Id="rId15" /><Relationship Type="http://schemas.openxmlformats.org/officeDocument/2006/relationships/footnotes" Target="footnote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2.xml" Id="rId14" /><Relationship Type="http://schemas.openxmlformats.org/officeDocument/2006/relationships/hyperlink" Target="https://resourcehub.bakermckenzie.com/en-/media/corporate-real-estate/files/list-of-authors-pdf_case0895890.pdf?sc_lang=en" TargetMode="External" Id="R299e74001ccf4829" /><Relationship Type="http://schemas.openxmlformats.org/officeDocument/2006/relationships/image" Target="/media/image3.png" Id="Rbcd1735519344313" /><Relationship Type="http://schemas.openxmlformats.org/officeDocument/2006/relationships/hyperlink" Target="https://insightplus.bakermckenzie.com/bm/real-estate_1" TargetMode="External" Id="Rdb185efaefe14f04" /><Relationship Type="http://schemas.openxmlformats.org/officeDocument/2006/relationships/image" Target="/media/image4.png" Id="R64ff21e3fa214cd2" /><Relationship Type="http://schemas.openxmlformats.org/officeDocument/2006/relationships/image" Target="/media/image.jpg" Id="Rb56f3cda9fa84a22" /><Relationship Type="http://schemas.openxmlformats.org/officeDocument/2006/relationships/hyperlink" Target="https://www.bakermckenzie.com/en/insight/publications/2020/02/corona-virus-resource-center" TargetMode="External" Id="R0996134d07a74f1b" /></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518B4A5F-AA5F-476D-882A-0A7EA0CE4B65}"/>
      </w:docPartPr>
      <w:docPartBody>
        <w:p w:rsidR="00874855" w:rsidRDefault="00221808">
          <w:r w:rsidRPr="0077679D">
            <w:rPr>
              <w:rStyle w:val="PlaceholderText"/>
            </w:rPr>
            <w:t>Click or tap here to enter text.</w:t>
          </w:r>
        </w:p>
      </w:docPartBody>
    </w:docPart>
    <w:docPart>
      <w:docPartPr>
        <w:name w:val="DefaultPlaceholder_-1854013435"/>
        <w:category>
          <w:name w:val="General"/>
          <w:gallery w:val="placeholder"/>
        </w:category>
        <w:types>
          <w:type w:val="bbPlcHdr"/>
        </w:types>
        <w:behaviors>
          <w:behavior w:val="content"/>
        </w:behaviors>
        <w:guid w:val="{1008D278-3E65-46D3-892E-B56CE25806F8}"/>
      </w:docPartPr>
      <w:docPartBody>
        <w:p w:rsidR="00874855" w:rsidRDefault="00221808">
          <w:r w:rsidRPr="0077679D">
            <w:rPr>
              <w:rStyle w:val="PlaceholderText"/>
            </w:rPr>
            <w:t>Enter any content that you want to repeat, including other content controls. You can also insert this control around table rows in order to repeat parts of a table.</w:t>
          </w:r>
        </w:p>
      </w:docPartBody>
    </w:docPart>
    <w:docPart>
      <w:docPartPr>
        <w:name w:val="E9C6504D96B0448F953762ABA604ABB6"/>
        <w:category>
          <w:name w:val="General"/>
          <w:gallery w:val="placeholder"/>
        </w:category>
        <w:types>
          <w:type w:val="bbPlcHdr"/>
        </w:types>
        <w:behaviors>
          <w:behavior w:val="content"/>
        </w:behaviors>
        <w:guid w:val="{EC8526DD-8AEB-43AC-837C-B463101D4AF6}"/>
      </w:docPartPr>
      <w:docPartBody>
        <w:p w:rsidR="00874855" w:rsidRDefault="00221808" w:rsidP="00221808">
          <w:pPr>
            <w:pStyle w:val="E9C6504D96B0448F953762ABA604ABB6"/>
          </w:pPr>
          <w:r w:rsidRPr="0077679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808"/>
    <w:rsid w:val="000417F3"/>
    <w:rsid w:val="00050A91"/>
    <w:rsid w:val="00221808"/>
    <w:rsid w:val="00265FBE"/>
    <w:rsid w:val="00304C11"/>
    <w:rsid w:val="003A1E4F"/>
    <w:rsid w:val="003A6DDE"/>
    <w:rsid w:val="0048437B"/>
    <w:rsid w:val="0048609F"/>
    <w:rsid w:val="004A4AF6"/>
    <w:rsid w:val="00567F5B"/>
    <w:rsid w:val="005A7F48"/>
    <w:rsid w:val="00730880"/>
    <w:rsid w:val="00741C2A"/>
    <w:rsid w:val="00752C5E"/>
    <w:rsid w:val="00856F2F"/>
    <w:rsid w:val="008606D1"/>
    <w:rsid w:val="0086372F"/>
    <w:rsid w:val="00874855"/>
    <w:rsid w:val="00AA0C1F"/>
    <w:rsid w:val="00AB64A1"/>
    <w:rsid w:val="00AF69BF"/>
    <w:rsid w:val="00B94864"/>
    <w:rsid w:val="00BA0C02"/>
    <w:rsid w:val="00BC067E"/>
    <w:rsid w:val="00BE3EB0"/>
    <w:rsid w:val="00D8752A"/>
    <w:rsid w:val="00DB5A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74855"/>
    <w:rPr>
      <w:color w:val="808080"/>
    </w:rPr>
  </w:style>
  <w:style w:type="paragraph" w:customStyle="1" w:styleId="E9C6504D96B0448F953762ABA604ABB6">
    <w:name w:val="E9C6504D96B0448F953762ABA604ABB6"/>
    <w:rsid w:val="0022180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Baker McKenzie">
      <a:dk1>
        <a:srgbClr val="000000"/>
      </a:dk1>
      <a:lt1>
        <a:srgbClr val="FFFFFF"/>
      </a:lt1>
      <a:dk2>
        <a:srgbClr val="C2C3C4"/>
      </a:dk2>
      <a:lt2>
        <a:srgbClr val="5F5F5F"/>
      </a:lt2>
      <a:accent1>
        <a:srgbClr val="EE3135"/>
      </a:accent1>
      <a:accent2>
        <a:srgbClr val="AE132A"/>
      </a:accent2>
      <a:accent3>
        <a:srgbClr val="7A0223"/>
      </a:accent3>
      <a:accent4>
        <a:srgbClr val="002856"/>
      </a:accent4>
      <a:accent5>
        <a:srgbClr val="F58220"/>
      </a:accent5>
      <a:accent6>
        <a:srgbClr val="007B66"/>
      </a:accent6>
      <a:hlink>
        <a:srgbClr val="EE3135"/>
      </a:hlink>
      <a:folHlink>
        <a:srgbClr val="EE313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2020-01-17T00:00:00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MigrationWizIdPermissionLevels xmlns="ddd3adf8-e9ce-43fc-b18f-f114bb3bf01b" xsi:nil="true"/>
    <MigrationWizId xmlns="ddd3adf8-e9ce-43fc-b18f-f114bb3bf01b" xsi:nil="true"/>
    <MigrationWizIdPermissions xmlns="ddd3adf8-e9ce-43fc-b18f-f114bb3bf01b" xsi:nil="true"/>
    <MigrationWizIdDocumentLibraryPermissions xmlns="ddd3adf8-e9ce-43fc-b18f-f114bb3bf01b" xsi:nil="true"/>
    <MigrationWizIdSecurityGroups xmlns="ddd3adf8-e9ce-43fc-b18f-f114bb3bf01b"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A4B400A3AA37244823AD8DC1C6835A7" ma:contentTypeVersion="16" ma:contentTypeDescription="Create a new document." ma:contentTypeScope="" ma:versionID="48d3fb8d77d5908ea14343df2489da8d">
  <xsd:schema xmlns:xsd="http://www.w3.org/2001/XMLSchema" xmlns:xs="http://www.w3.org/2001/XMLSchema" xmlns:p="http://schemas.microsoft.com/office/2006/metadata/properties" xmlns:ns2="ddd3adf8-e9ce-43fc-b18f-f114bb3bf01b" xmlns:ns3="fa387d1b-7b7d-44fe-8810-fc812ae8cc12" targetNamespace="http://schemas.microsoft.com/office/2006/metadata/properties" ma:root="true" ma:fieldsID="f238a5b439a87a6f33fc1b70cce05a38" ns2:_="" ns3:_="">
    <xsd:import namespace="ddd3adf8-e9ce-43fc-b18f-f114bb3bf01b"/>
    <xsd:import namespace="fa387d1b-7b7d-44fe-8810-fc812ae8cc12"/>
    <xsd:element name="properties">
      <xsd:complexType>
        <xsd:sequence>
          <xsd:element name="documentManagement">
            <xsd:complexType>
              <xsd:all>
                <xsd:element ref="ns2:MigrationWizId" minOccurs="0"/>
                <xsd:element ref="ns2:MigrationWizIdPermissions" minOccurs="0"/>
                <xsd:element ref="ns2:MigrationWizIdPermissionLevels" minOccurs="0"/>
                <xsd:element ref="ns2:MigrationWizIdDocumentLibraryPermissions" minOccurs="0"/>
                <xsd:element ref="ns2:MigrationWizIdSecurityGroups"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d3adf8-e9ce-43fc-b18f-f114bb3bf01b"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internalName="MigrationWizIdPermissionLevels">
      <xsd:simpleType>
        <xsd:restriction base="dms:Text"/>
      </xsd:simpleType>
    </xsd:element>
    <xsd:element name="MigrationWizIdDocumentLibraryPermissions" ma:index="11" nillable="true" ma:displayName="MigrationWizIdDocumentLibraryPermissions" ma:internalName="MigrationWizIdDocumentLibraryPermissions">
      <xsd:simpleType>
        <xsd:restriction base="dms:Text"/>
      </xsd:simpleType>
    </xsd:element>
    <xsd:element name="MigrationWizIdSecurityGroups" ma:index="12" nillable="true" ma:displayName="MigrationWizIdSecurityGroup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a387d1b-7b7d-44fe-8810-fc812ae8cc12"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5B1CAEF-26DD-4BA6-9890-326E51FFAEDF}">
  <ds:schemaRefs>
    <ds:schemaRef ds:uri="http://schemas.microsoft.com/office/2006/metadata/properties"/>
    <ds:schemaRef ds:uri="http://schemas.microsoft.com/office/infopath/2007/PartnerControls"/>
    <ds:schemaRef ds:uri="ddd3adf8-e9ce-43fc-b18f-f114bb3bf01b"/>
  </ds:schemaRefs>
</ds:datastoreItem>
</file>

<file path=customXml/itemProps3.xml><?xml version="1.0" encoding="utf-8"?>
<ds:datastoreItem xmlns:ds="http://schemas.openxmlformats.org/officeDocument/2006/customXml" ds:itemID="{C67CF46F-8532-4919-A9CE-86C114B9DD41}">
  <ds:schemaRefs>
    <ds:schemaRef ds:uri="http://schemas.openxmlformats.org/officeDocument/2006/bibliography"/>
  </ds:schemaRefs>
</ds:datastoreItem>
</file>

<file path=customXml/itemProps4.xml><?xml version="1.0" encoding="utf-8"?>
<ds:datastoreItem xmlns:ds="http://schemas.openxmlformats.org/officeDocument/2006/customXml" ds:itemID="{55FCFC57-8971-4143-B2D4-80FFE2C443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d3adf8-e9ce-43fc-b18f-f114bb3bf01b"/>
    <ds:schemaRef ds:uri="fa387d1b-7b7d-44fe-8810-fc812ae8cc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9641B9A-23B7-4874-A0AF-B69226DA0B9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1253</TotalTime>
  <Pages>3</Pages>
  <Words>224</Words>
  <Characters>1280</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George West</cp:lastModifiedBy>
  <cp:revision>71</cp:revision>
  <dcterms:created xsi:type="dcterms:W3CDTF">2020-06-08T16:30:00Z</dcterms:created>
  <dcterms:modified xsi:type="dcterms:W3CDTF">2021-06-02T18:24:00Z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v-rosi@microsoft.com</vt:lpwstr>
  </property>
  <property fmtid="{D5CDD505-2E9C-101B-9397-08002B2CF9AE}" pid="5" name="MSIP_Label_f42aa342-8706-4288-bd11-ebb85995028c_SetDate">
    <vt:lpwstr>2020-01-28T16:18:19.3267225Z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ActionId">
    <vt:lpwstr>f821c66d-b85a-494f-a342-36ae93d075bd</vt:lpwstr>
  </property>
  <property fmtid="{D5CDD505-2E9C-101B-9397-08002B2CF9AE}" pid="9" name="MSIP_Label_f42aa342-8706-4288-bd11-ebb85995028c_Extended_MSFT_Method">
    <vt:lpwstr>Automatic</vt:lpwstr>
  </property>
  <property fmtid="{D5CDD505-2E9C-101B-9397-08002B2CF9AE}" pid="10" name="Sensitivity">
    <vt:lpwstr>General</vt:lpwstr>
  </property>
  <property fmtid="{D5CDD505-2E9C-101B-9397-08002B2CF9AE}" pid="11" name="ContentTypeId">
    <vt:lpwstr>0x010100CA4B400A3AA37244823AD8DC1C6835A7</vt:lpwstr>
  </property>
</Properties>
</file>