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Insurance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ASIA PACIFIC INSURANCE</w:t>
          </w:r>
        </w:p>
        <w:p>
          <w:pPr>
            <w:pStyle w:val="BodyText"/>
          </w:pPr>
          <w:pPr>
            <w:jc w:val="both"/>
          </w:pPr>
          <w:r>
            <w:rPr>
              <w:i/>
              <w:sz w:val="18"/>
            </w:rPr>
            <w:t xml:space="preserve">This content was last reviewed around December 2022. All content is for informational purposes only and may not reflect the most current legal and regulatory developments. All summaries of the laws, regulations and practice are subject to change.</w:t>
          </w:r>
        </w:p>
        <w:p>
          <w:pPr>
            <w:pStyle w:val="BodyText"/>
          </w:pPr>
          <w:pPr>
            <w:pStyle w:val="Heading6"/>
          </w:pPr>
          <w:r>
            <w:rPr>
              <w:b/>
            </w:rPr>
            <w:t xml:space="preserve">Tackling the Insurance Sector: Navigating Through One of Asia's Fastest-Growing Industries </w:t>
          </w:r>
        </w:p>
        <w:p>
          <w:pPr>
            <w:pStyle w:val="BodyText"/>
          </w:pPr>
          <w:r>
            <w:t xml:space="preserve">Asia's strong economic growth has made insurance one of the most sought-after and lucrative industry sectors. However, as regulatory policies change quickly across high-growth markets, global and regional insurers need to craft strategic business objectives, effectively manage risk and understand what pitfalls to avoid.</w:t>
          </w:r>
        </w:p>
        <w:p>
          <w:pPr>
            <w:pStyle w:val="BodyText"/>
          </w:pPr>
          <w:r>
            <w:t xml:space="preserve">Our searchable microsite summarizes current trends across jurisdictions in Asia concerning a range of issues that typically arise in the insurance industry. To get started, click on the Compare Jurisdictions and Topics button or download the PDF version below. </w:t>
          </w:r>
        </w:p>
        <w:p>
          <w:pPr>
            <w:pStyle w:val="BodyText"/>
          </w:pPr>
          <w:r>
            <w:t xml:space="preserve"> </w:t>
          </w:r>
        </w:p>
        <w:p>
          <w:pPr>
            <w:pStyle w:val="BodyText"/>
          </w:pPr>
          <w:pPr>
            <w:jc w:val="center"/>
          </w:pPr>
          <w:hyperlink w:history="true" r:id="R839f1ad5ab984d3b">
            <w:r>
              <w:drawing>
                <wp:inline distT="0" distB="0" distL="0" distR="0">
                  <wp:extent cx="1905000" cy="1905000"/>
                  <wp:effectExtent l="19050" t="0" r="0" b="0"/>
                  <wp:docPr id="2" name="https://resourcehub.bakermckenzie.com/en/-/media/asia-pacific-regulatory-landscape-and-issues-in-ba/images/case1214946_ap_insurtech.jpg?h=200&amp;amp;w=200&amp;amp;rev=eeed1c4ff9f14db8ab664664ade53ee7&amp;sc_lang=en" descr="">
                    <a:hlinkClick xmlns:a="http://schemas.openxmlformats.org/drawingml/2006/main" r:id="R839f1ad5ab984d3b" tooltip="AP_Insurte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regulatory-landscape-and-issues-in-ba/images/case1214946_ap_insurtech.jpg?h=200&amp;amp;w=200&amp;amp;rev=eeed1c4ff9f14db8ab664664ade53ee7&amp;sc_lang=en" descr="AP_Insurtech"/>
                          <pic:cNvPicPr>
                            <a:picLocks noChangeAspect="1" noChangeArrowheads="1"/>
                          </pic:cNvPicPr>
                        </pic:nvPicPr>
                        <pic:blipFill>
                          <a:blip r:embed="Re5875a6306854d41"/>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bf7876cd7c7d41f1">
            <w:r>
              <w:drawing>
                <wp:inline distT="0" distB="0" distL="0" distR="0">
                  <wp:extent cx="1905000" cy="1905000"/>
                  <wp:effectExtent l="19050" t="0" r="0" b="0"/>
                  <wp:docPr id="3" name="https://resourcehub.bakermckenzie.com/en/-/media/asia-pacific-regulatory-landscape-and-issues-in-ba/images/banners/digitalizationinsurancethumbnail.jpg?h=200&amp;amp;w=200&amp;amp;rev=0f40ee07429a4fe4a548f2ce3a1895aa" descr="">
                    <a:hlinkClick xmlns:a="http://schemas.openxmlformats.org/drawingml/2006/main" r:id="Rbf7876cd7c7d41f1"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asia-pacific-regulatory-landscape-and-issues-in-ba/images/banners/digitalizationinsurancethumbnail.jpg?h=200&amp;amp;w=200&amp;amp;rev=0f40ee07429a4fe4a548f2ce3a1895aa" descr=""/>
                          <pic:cNvPicPr>
                            <a:picLocks noChangeAspect="1" noChangeArrowheads="1"/>
                          </pic:cNvPicPr>
                        </pic:nvPicPr>
                        <pic:blipFill>
                          <a:blip r:embed="R2bf90a47669148f5"/>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8664b2f325f04ce1">
            <w:r>
              <w:drawing>
                <wp:inline distT="0" distB="0" distL="0" distR="0">
                  <wp:extent cx="0" cy="0"/>
                  <wp:effectExtent l="19050" t="0" r="0" b="0"/>
                  <wp:docPr id="4" name="https://resourcehub.bakermckenzie.com/en/-/media/asia-pacific-regulatory-landscape-and-issues-in-ba/images/banners/dataprotectioncybersecurity.jpg?rev=32678c2313784cb5b9eab8e6e032a25c" descr="">
                    <a:hlinkClick xmlns:a="http://schemas.openxmlformats.org/drawingml/2006/main" r:id="R8664b2f325f04ce1"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asia-pacific-regulatory-landscape-and-issues-in-ba/images/banners/dataprotectioncybersecurity.jpg?rev=32678c2313784cb5b9eab8e6e032a25c" descr=""/>
                          <pic:cNvPicPr>
                            <a:picLocks noChangeAspect="1" noChangeArrowheads="1"/>
                          </pic:cNvPicPr>
                        </pic:nvPicPr>
                        <pic:blipFill>
                          <a:blip r:embed="R23d3cb17594640c1"/>
                          <a:srcRect/>
                          <a:stretch>
                            <a:fillRect/>
                          </a:stretch>
                        </pic:blipFill>
                        <pic:spPr bwMode="auto">
                          <a:xfrm>
                            <a:off x="0" y="0"/>
                            <a:ext cx="0" cy="0"/>
                          </a:xfrm>
                          <a:prstGeom prst="rect">
                            <a:avLst/>
                          </a:prstGeom>
                        </pic:spPr>
                      </pic:pic>
                    </a:graphicData>
                  </a:graphic>
                </wp:inline>
              </w:drawing>
            </w:r>
          </w:hyperlink>
        </w:p>
        <w:p>
          <w:pPr>
            <w:pStyle w:val="BodyText"/>
          </w:pPr>
          <w:pPr>
            <w:jc w:val="center"/>
          </w:pPr>
          <w:r>
            <w:t xml:space="preserve"> </w:t>
          </w:r>
          <w:hyperlink w:history="true" r:id="Rd15de6ef9f904b82">
            <w:r>
              <w:drawing>
                <wp:inline distT="0" distB="0" distL="0" distR="0">
                  <wp:extent cx="1905000" cy="1905000"/>
                  <wp:effectExtent l="19050" t="0" r="0" b="0"/>
                  <wp:docPr id="5" name="https://resourcehub.bakermckenzie.com/en/-/media/asia-pacific-regulatory-landscape-and-issues-in-ba/images/banners/newregulatorylandscapema.jpg?rev=629bae23f4174bbc943b659d12a53f09" descr="">
                    <a:hlinkClick xmlns:a="http://schemas.openxmlformats.org/drawingml/2006/main" r:id="Rd15de6ef9f904b82"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asia-pacific-regulatory-landscape-and-issues-in-ba/images/banners/newregulatorylandscapema.jpg?rev=629bae23f4174bbc943b659d12a53f09" descr=""/>
                          <pic:cNvPicPr>
                            <a:picLocks noChangeAspect="1" noChangeArrowheads="1"/>
                          </pic:cNvPicPr>
                        </pic:nvPicPr>
                        <pic:blipFill>
                          <a:blip r:embed="Radee478dc7c14dfc"/>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188ca5cb4eb745e4">
            <w:r>
              <w:drawing>
                <wp:inline distT="0" distB="0" distL="0" distR="0">
                  <wp:extent cx="1905000" cy="1905000"/>
                  <wp:effectExtent l="19050" t="0" r="0" b="0"/>
                  <wp:docPr id="6" name="https://resourcehub.bakermckenzie.com/en/-/media/asia-pacific-regulatory-landscape-and-issues-in-ba/images/banners/newinvestinginsurtechstartups.jpg?h=200&amp;amp;w=200&amp;amp;rev=4956287670514ef48c56453d1a9338fc" descr="">
                    <a:hlinkClick xmlns:a="http://schemas.openxmlformats.org/drawingml/2006/main" r:id="R188ca5cb4eb745e4"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asia-pacific-regulatory-landscape-and-issues-in-ba/images/banners/newinvestinginsurtechstartups.jpg?h=200&amp;amp;w=200&amp;amp;rev=4956287670514ef48c56453d1a9338fc" descr=""/>
                          <pic:cNvPicPr>
                            <a:picLocks noChangeAspect="1" noChangeArrowheads="1"/>
                          </pic:cNvPicPr>
                        </pic:nvPicPr>
                        <pic:blipFill>
                          <a:blip r:embed="R1af13e5fa0b24f43"/>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ff396df1db354d37">
            <w:r>
              <w:drawing>
                <wp:inline distT="0" distB="0" distL="0" distR="0">
                  <wp:extent cx="1905000" cy="1905000"/>
                  <wp:effectExtent l="19050" t="0" r="0" b="0"/>
                  <wp:docPr id="7" name="https://resourcehub.bakermckenzie.com/en/-/media/asia-pacific-regulatory-landscape-and-issues-in-ba/images/asia-pacific-guide-for-insurance-sales-advisory-and-distribution-2page1.jpg?h=200&amp;amp;w=200&amp;amp;rev=6657b42ed6694e4596bc569a66207bf1&amp;sc_lang=en" descr="">
                    <a:hlinkClick xmlns:a="http://schemas.openxmlformats.org/drawingml/2006/main" r:id="Rff396df1db354d37" tooltip="AP-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asia-pacific-regulatory-landscape-and-issues-in-ba/images/asia-pacific-guide-for-insurance-sales-advisory-and-distribution-2page1.jpg?h=200&amp;amp;w=200&amp;amp;rev=6657b42ed6694e4596bc569a66207bf1&amp;sc_lang=en" descr="AP-guide"/>
                          <pic:cNvPicPr>
                            <a:picLocks noChangeAspect="1" noChangeArrowheads="1"/>
                          </pic:cNvPicPr>
                        </pic:nvPicPr>
                        <pic:blipFill>
                          <a:blip r:embed="Rdbf9f3999c554db0"/>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556b5d584c70484b">
            <w:r>
              <w:drawing>
                <wp:inline distT="0" distB="0" distL="0" distR="0">
                  <wp:extent cx="1857375" cy="1905000"/>
                  <wp:effectExtent l="19050" t="0" r="0" b="0"/>
                  <wp:docPr id="8" name="https://resourcehub.bakermckenzie.com/en/-/media/asia-pacific-regulatory-landscape-and-issues-in-ba/images/case2598867_bw-tiles3.png?h=200&amp;amp;w=195&amp;amp;rev=bec023c397f742d8bf80df4e7cab66b5&amp;sc_lang=en" descr="">
                    <a:hlinkClick xmlns:a="http://schemas.openxmlformats.org/drawingml/2006/main" r:id="R556b5d584c70484b" tooltip="AP Insurance Consumer Protection 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resourcehub.bakermckenzie.com/en/-/media/asia-pacific-regulatory-landscape-and-issues-in-ba/images/case2598867_bw-tiles3.png?h=200&amp;amp;w=195&amp;amp;rev=bec023c397f742d8bf80df4e7cab66b5&amp;sc_lang=en" descr="AP Insurance Consumer Protection Guide"/>
                          <pic:cNvPicPr>
                            <a:picLocks noChangeAspect="1" noChangeArrowheads="1"/>
                          </pic:cNvPicPr>
                        </pic:nvPicPr>
                        <pic:blipFill>
                          <a:blip r:embed="R51a347c39686457c"/>
                          <a:srcRect/>
                          <a:stretch>
                            <a:fillRect/>
                          </a:stretch>
                        </pic:blipFill>
                        <pic:spPr bwMode="auto">
                          <a:xfrm>
                            <a:off x="0" y="0"/>
                            <a:ext cx="1857375" cy="1905000"/>
                          </a:xfrm>
                          <a:prstGeom prst="rect">
                            <a:avLst/>
                          </a:prstGeom>
                        </pic:spPr>
                      </pic:pic>
                    </a:graphicData>
                  </a:graphic>
                </wp:inline>
              </w:drawing>
            </w:r>
          </w:hyperlink>
        </w:p>
        <w:p>
          <w:pPr>
            <w:pStyle w:val="BodyText"/>
          </w:pPr>
          <w:pPr>
            <w:jc w:val="center"/>
          </w:pPr>
          <w:r>
            <w:t xml:space="preserve"> </w:t>
          </w:r>
          <w:hyperlink w:history="true" r:id="R4fa29d6ffaca42d0">
            <w:r>
              <w:drawing>
                <wp:inline distT="0" distB="0" distL="0" distR="0">
                  <wp:extent cx="1857375" cy="1333500"/>
                  <wp:effectExtent l="19050" t="0" r="0" b="0"/>
                  <wp:docPr id="9" name="https://resourcehub.bakermckenzie.com/en/-/media/asia-pacific-regulatory-landscape-and-issues-in-ba/images/api-tile.png?h=140&amp;amp;w=195&amp;amp;rev=89cbd10092d54274a18f7c955f4777b8&amp;sc_lang=en" descr="">
                    <a:hlinkClick xmlns:a="http://schemas.openxmlformats.org/drawingml/2006/main" r:id="R4fa29d6ffaca42d0" tooltip="AP Regulatory Landscape and Issues in Bancassurance 20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tps://resourcehub.bakermckenzie.com/en/-/media/asia-pacific-regulatory-landscape-and-issues-in-ba/images/api-tile.png?h=140&amp;amp;w=195&amp;amp;rev=89cbd10092d54274a18f7c955f4777b8&amp;sc_lang=en" descr="AP Regulatory Landscape and Issues in Bancassurance 2024"/>
                          <pic:cNvPicPr>
                            <a:picLocks noChangeAspect="1" noChangeArrowheads="1"/>
                          </pic:cNvPicPr>
                        </pic:nvPicPr>
                        <pic:blipFill>
                          <a:blip r:embed="R5ea5f66b74f1464b"/>
                          <a:srcRect/>
                          <a:stretch>
                            <a:fillRect/>
                          </a:stretch>
                        </pic:blipFill>
                        <pic:spPr bwMode="auto">
                          <a:xfrm>
                            <a:off x="0" y="0"/>
                            <a:ext cx="1857375" cy="1333500"/>
                          </a:xfrm>
                          <a:prstGeom prst="rect">
                            <a:avLst/>
                          </a:prstGeom>
                        </pic:spPr>
                      </pic:pic>
                    </a:graphicData>
                  </a:graphic>
                </wp:inline>
              </w:drawing>
            </w:r>
          </w:hyperlink>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asia-pacific-regulatory-landscape-and-issues-in-ba/files/new/asia_pacific_guide_to_insurtech_innovation_and_utilization.pdf?rev=c2f92c85577f47eb8b1b37f4c8e6c072&amp;sc_lang=en" TargetMode="External" Id="R839f1ad5ab984d3b" /><Relationship Type="http://schemas.openxmlformats.org/officeDocument/2006/relationships/image" Target="/media/image.jpg" Id="Re5875a6306854d41" /><Relationship Type="http://schemas.openxmlformats.org/officeDocument/2006/relationships/hyperlink" Target="https://resourcehub.bakermckenzie.com/en/-/media/asia-pacific-regulatory-landscape-and-issues-in-ba/files/new/2021_edition_asia_pacific_digitalization_in_insurance_guide.pdf?rev=cfca547b0c5a42c4b46779e19c797501&amp;sc_lang=en" TargetMode="External" Id="Rbf7876cd7c7d41f1" /><Relationship Type="http://schemas.openxmlformats.org/officeDocument/2006/relationships/image" Target="/media/image2.jpg" Id="R2bf90a47669148f5" /><Relationship Type="http://schemas.openxmlformats.org/officeDocument/2006/relationships/hyperlink" Target="https://resourcehub.bakermckenzie.com/en/-/media/asia-pacific-regulatory-landscape-and-issues-in-ba/files/ap-guide-insurance-data-protection-and-cybersecurity-2024.pdf?rev=ae5c26d6619b4335a938e8fa6e4360b2&amp;sc_lang=en" TargetMode="External" Id="R8664b2f325f04ce1" /><Relationship Type="http://schemas.openxmlformats.org/officeDocument/2006/relationships/image" Target="/media/image3.jpg" Id="R23d3cb17594640c1" /><Relationship Type="http://schemas.openxmlformats.org/officeDocument/2006/relationships/hyperlink" Target="https://resourcehub.bakermckenzie.com/en/-/media/asia-pacific-regulatory-landscape-and-issues-in-ba/files/ap-guide-insurance-data-protection_2020.pdf?rev=e98450442b3947caac8e312c58e46fa8&amp;sc_lang=en" TargetMode="External" Id="R2c58319506ae44e6" /><Relationship Type="http://schemas.openxmlformats.org/officeDocument/2006/relationships/hyperlink" Target="https://resourcehub.bakermckenzie.com/-/media/asia-pacific-regulatory-landscape-and-issues-in-ba/files/publications/asia-pacific-insurance-regulatory-landscape-and-key-considerations-for-ma-transactions-2023.pdf" TargetMode="External" Id="Rd15de6ef9f904b82" /><Relationship Type="http://schemas.openxmlformats.org/officeDocument/2006/relationships/image" Target="/media/image4.jpg" Id="Radee478dc7c14dfc" /><Relationship Type="http://schemas.openxmlformats.org/officeDocument/2006/relationships/hyperlink" Target="https://resourcehub.bakermckenzie.com/-/media/asia-pacific-regulatory-landscape-and-issues-in-ba/files/publications/asia-pacific-guide-for-investing-in-insurtech-start-ups-2023.pdf" TargetMode="External" Id="R188ca5cb4eb745e4" /><Relationship Type="http://schemas.openxmlformats.org/officeDocument/2006/relationships/image" Target="/media/image5.jpg" Id="R1af13e5fa0b24f43" /><Relationship Type="http://schemas.openxmlformats.org/officeDocument/2006/relationships/hyperlink" Target="https://resourcehub.bakermckenzie.com/en-/media/asia-pacific-regulatory-landscape-and-issues-in-ba/files/asia-pacific-guide-for-insurance-sales-advisory-and-distribution.pdf" TargetMode="External" Id="Rff396df1db354d37" /><Relationship Type="http://schemas.openxmlformats.org/officeDocument/2006/relationships/image" Target="/media/image6.jpg" Id="Rdbf9f3999c554db0" /><Relationship Type="http://schemas.openxmlformats.org/officeDocument/2006/relationships/hyperlink" Target="https://resourcehub.bakermckenzie.com/en/-/media/asia-pacific-regulatory-landscape-and-issues-in-ba/files/baker-mckenzie---ap-insurance-consumer-protection-guide.pdf?rev=5704570573264917832f9078cd383fd0&amp;sc_lang=en" TargetMode="External" Id="R556b5d584c70484b" /><Relationship Type="http://schemas.openxmlformats.org/officeDocument/2006/relationships/image" Target="/media/image3.png" Id="R51a347c39686457c" /><Relationship Type="http://schemas.openxmlformats.org/officeDocument/2006/relationships/hyperlink" Target="https://resourcehub.bakermckenzie.com/en/-/media/asia-pacific-regulatory-landscape-and-issues-in-ba/files/publications/apac-regulatory-landscape-and-issues-in-bancassurance-2024.pdf?rev=69090ec87c2944f69d537fbc0fa3c85f&amp;sc_lang=en" TargetMode="External" Id="R4fa29d6ffaca42d0" /><Relationship Type="http://schemas.openxmlformats.org/officeDocument/2006/relationships/image" Target="/media/image4.png" Id="R5ea5f66b74f1464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