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Sustainable Buildings Guide</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center"/>
          </w:pPr>
          <w:r>
            <w:drawing>
              <wp:inline distT="0" distB="0" distL="0" distR="0">
                <wp:extent cx="7620000" cy="2381250"/>
                <wp:effectExtent l="19050" t="0" r="0" b="0"/>
                <wp:docPr id="2" name="https://resourcehub.bakermckenzie.com/en/-/media/global-sustainable-building-guide/images/case3190973_banner_800x300px.jpg?h=250&amp;amp;w=800&amp;amp;rev=eb9367ad35d24f5eb5abb52ca14864fe&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global-sustainable-building-guide/images/case3190973_banner_800x300px.jpg?h=250&amp;amp;w=800&amp;amp;rev=eb9367ad35d24f5eb5abb52ca14864fe&amp;sc_lang=en" descr="GSBG-Banner"/>
                        <pic:cNvPicPr>
                          <a:picLocks noChangeAspect="1" noChangeArrowheads="1"/>
                        </pic:cNvPicPr>
                      </pic:nvPicPr>
                      <pic:blipFill>
                        <a:blip r:embed="R4ca71e30090044fc"/>
                        <a:srcRect/>
                        <a:stretch>
                          <a:fillRect/>
                        </a:stretch>
                      </pic:blipFill>
                      <pic:spPr bwMode="auto">
                        <a:xfrm>
                          <a:off x="0" y="0"/>
                          <a:ext cx="7620000" cy="2381250"/>
                        </a:xfrm>
                        <a:prstGeom prst="rect">
                          <a:avLst/>
                        </a:prstGeom>
                      </pic:spPr>
                    </pic:pic>
                  </a:graphicData>
                </a:graphic>
              </wp:inline>
            </w:drawing>
          </w:r>
        </w:p>
        <w:p>
          <w:pPr>
            <w:pStyle w:val="BodyText"/>
          </w:pPr>
          <w:pPr>
            <w:jc w:val="center"/>
          </w:pPr>
          <w:r>
            <w:rPr>
              <w:color w:val="C00000"/>
            </w:rPr>
            <w:t xml:space="preserve">Global Sustainable Buildings Guide</w:t>
          </w:r>
        </w:p>
        <w:p>
          <w:pPr>
            <w:pStyle w:val="BodyText"/>
          </w:pPr>
          <w:r>
            <w:t xml:space="preserve">The built environment accounts for almost 40% of all global carbon emissions, of which around 11% come from embodied carbon. Real estate owners, occupiers, investors and developers have a crucial role to play in our global journey towards a more sustainable built environment. The challenge is real, and an increasing number of developers, investors and other real estate stakeholders are now taking steps to make sustainability a central force behind their business decisions.</w:t>
          </w:r>
        </w:p>
        <w:p>
          <w:pPr>
            <w:pStyle w:val="BodyText"/>
          </w:pPr>
          <w:r>
            <w:t xml:space="preserve">We have revised this third edition of our Global Sustainable Buildings Guide to provide an updated overview of key topics that will be relevant to you on your journey to net-zero. We take a comparative look across 37 jurisdictions at issues such as: certification models that are recognized in different jurisdictions; energy performance standards; available government subsidies and national targets; and regulatory measures and risks. You are able to select jurisdictions and questions, and compare the answers for a global perspective across Asia Pacific, Europe, the Middle East and the Americas.</w:t>
          </w:r>
        </w:p>
        <w:p>
          <w:pPr>
            <w:pStyle w:val="BodyText"/>
          </w:pPr>
          <w:r>
            <w:t xml:space="preserve">We thank all our colleagues across the globe for their contributions and expertise in compiling this guide, and we trust it proves a useful resource for you.</w:t>
          </w:r>
        </w:p>
        <w:p>
          <w:pPr>
            <w:pStyle w:val="BodyText"/>
          </w:pPr>
          <w:r>
            <w:rPr>
              <w:b/>
            </w:rPr>
            <w:t xml:space="preserve">Contact us</w:t>
          </w:r>
        </w:p>
        <w:p>
          <w:pPr>
            <w:pStyle w:val="BodyText"/>
          </w:pPr>
          <w:r>
            <w:t xml:space="preserve">For questions, assistance or advice, we invite you to contact any of the local authors referenced in the Guide.</w:t>
          </w:r>
        </w:p>
        <w:p>
          <w:pPr>
            <w:pStyle w:val="BodyText"/>
          </w:pPr>
          <w:r>
            <w:t xml:space="preserve">To learn more about our Real Estate expertise, please visit our website </w:t>
          </w:r>
          <w:hyperlink w:history="true" r:id="R7aa432ea902a4a09">
            <w:r>
              <w:rPr>
                <w:rStyle w:val="Hyperlink"/>
              </w:rPr>
              <w:t xml:space="preserve">here</w:t>
            </w:r>
          </w:hyperlink>
          <w:r>
            <w:t xml:space="preserve">.</w:t>
          </w:r>
        </w:p>
        <w:p>
          <w:pPr>
            <w:pStyle w:val="BodyText"/>
          </w:pPr>
          <w:hyperlink w:history="true" r:id="R07b5e937d1b740b9">
            <w:r>
              <w:drawing>
                <wp:inline distT="0" distB="0" distL="0" distR="0">
                  <wp:extent cx="1866899" cy="2533650"/>
                  <wp:effectExtent l="19050" t="0" r="0" b="0"/>
                  <wp:docPr id="3" name="https://resourcehub.bakermckenzie.com/en/-/media/global-sustainable-building-guide/images/jb_garcia-profile.jpg?rev=9ca592b662214fc5b2723fb8407d06ef&amp;sc_lang=en" descr="">
                    <a:hlinkClick xmlns:a="http://schemas.openxmlformats.org/drawingml/2006/main" r:id="R07b5e937d1b740b9" tooltip="JBG-profil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global-sustainable-building-guide/images/jb_garcia-profile.jpg?rev=9ca592b662214fc5b2723fb8407d06ef&amp;sc_lang=en" descr="JBG-profile"/>
                          <pic:cNvPicPr>
                            <a:picLocks noChangeAspect="1" noChangeArrowheads="1"/>
                          </pic:cNvPicPr>
                        </pic:nvPicPr>
                        <pic:blipFill>
                          <a:blip r:embed="R5d4530406d9541f6"/>
                          <a:srcRect/>
                          <a:stretch>
                            <a:fillRect/>
                          </a:stretch>
                        </pic:blipFill>
                        <pic:spPr bwMode="auto">
                          <a:xfrm>
                            <a:off x="0" y="0"/>
                            <a:ext cx="1866899" cy="2533650"/>
                          </a:xfrm>
                          <a:prstGeom prst="rect">
                            <a:avLst/>
                          </a:prstGeom>
                        </pic:spPr>
                      </pic:pic>
                    </a:graphicData>
                  </a:graphic>
                </wp:inline>
              </w:drawing>
            </w:r>
          </w:hyperlink>
        </w:p>
        <w:p>
          <w:pPr>
            <w:pStyle w:val="BodyText"/>
          </w:pPr>
          <w:r>
            <w:t xml:space="preserve">          </w:t>
          </w:r>
          <w:hyperlink w:history="true" r:id="R227b5eeb2f5b4211">
            <w:r>
              <w:drawing>
                <wp:inline distT="0" distB="0" distL="0" distR="0">
                  <wp:extent cx="2171700" cy="2505075"/>
                  <wp:effectExtent l="19050" t="0" r="0" b="0"/>
                  <wp:docPr id="4" name="https://resourcehub.bakermckenzie.com/en/-/media/global-sustainable-building-guide/images/ben-farnel-profile.jpg?rev=0eb5a838d9df4224812d42fb81cc2fe2&amp;sc_lang=en" descr="">
                    <a:hlinkClick xmlns:a="http://schemas.openxmlformats.org/drawingml/2006/main" r:id="R227b5eeb2f5b4211" tooltip="BF-profil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global-sustainable-building-guide/images/ben-farnel-profile.jpg?rev=0eb5a838d9df4224812d42fb81cc2fe2&amp;sc_lang=en" descr="BF-profile"/>
                          <pic:cNvPicPr>
                            <a:picLocks noChangeAspect="1" noChangeArrowheads="1"/>
                          </pic:cNvPicPr>
                        </pic:nvPicPr>
                        <pic:blipFill>
                          <a:blip r:embed="Reb9fda0e34144373"/>
                          <a:srcRect/>
                          <a:stretch>
                            <a:fillRect/>
                          </a:stretch>
                        </pic:blipFill>
                        <pic:spPr bwMode="auto">
                          <a:xfrm>
                            <a:off x="0" y="0"/>
                            <a:ext cx="2171700" cy="2505075"/>
                          </a:xfrm>
                          <a:prstGeom prst="rect">
                            <a:avLst/>
                          </a:prstGeom>
                        </pic:spPr>
                      </pic:pic>
                    </a:graphicData>
                  </a:graphic>
                </wp:inline>
              </w:drawing>
            </w:r>
          </w:hyperlink>
        </w:p>
        <w:p>
          <w:pPr>
            <w:pStyle w:val="BodyText"/>
          </w:pPr>
          <w:r>
            <w:t xml:space="preserve">                        </w:t>
          </w:r>
        </w:p>
        <w:p>
          <w:pPr>
            <w:pStyle w:val="BodyText"/>
          </w:pPr>
          <w:r>
            <w:t xml:space="preserve"> </w:t>
          </w:r>
        </w:p>
        <w:p>
          <w:pPr>
            <w:pStyle w:val="BodyText"/>
          </w:pPr>
          <w:hyperlink w:history="true" r:id="Rad65371357df4634">
            <w:r>
              <w:drawing>
                <wp:inline distT="0" distB="0" distL="0" distR="0">
                  <wp:extent cx="1866899" cy="476250"/>
                  <wp:effectExtent l="19050" t="0" r="0" b="0"/>
                  <wp:docPr id="5" name="https://resourcehub.bakermckenzie.com/en/-/media/corporate-real-estate/images/button_download-full-guide.png?h=50.4444&amp;amp;w=196.222&amp;amp;rev=4482f28bdc9c4b84aba1215bdaff3542&amp;sc_lang=en" descr="">
                    <a:hlinkClick xmlns:a="http://schemas.openxmlformats.org/drawingml/2006/main" r:id="Rad65371357df4634" tooltip="DL_full-guid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corporate-real-estate/images/button_download-full-guide.png?h=50.4444&amp;amp;w=196.222&amp;amp;rev=4482f28bdc9c4b84aba1215bdaff3542&amp;sc_lang=en" descr="DL_full-guide"/>
                          <pic:cNvPicPr>
                            <a:picLocks noChangeAspect="1" noChangeArrowheads="1"/>
                          </pic:cNvPicPr>
                        </pic:nvPicPr>
                        <pic:blipFill>
                          <a:blip r:embed="R7e10f12478394105"/>
                          <a:srcRect/>
                          <a:stretch>
                            <a:fillRect/>
                          </a:stretch>
                        </pic:blipFill>
                        <pic:spPr bwMode="auto">
                          <a:xfrm>
                            <a:off x="0" y="0"/>
                            <a:ext cx="1866899" cy="476250"/>
                          </a:xfrm>
                          <a:prstGeom prst="rect">
                            <a:avLst/>
                          </a:prstGeom>
                        </pic:spPr>
                      </pic:pic>
                    </a:graphicData>
                  </a:graphic>
                </wp:inline>
              </w:drawing>
            </w:r>
          </w:hyperlink>
        </w:p>
        <w:p>
          <w:pPr>
            <w:pStyle w:val="BodyText"/>
          </w:pPr>
          <w:r>
            <w:t xml:space="preserve"> </w:t>
          </w:r>
        </w:p>
        <w:p>
          <w:pPr>
            <w:pStyle w:val="BodyText"/>
          </w:pPr>
          <w:r>
            <w:t xml:space="preserve"> </w:t>
          </w:r>
        </w:p>
        <w:p>
          <w:pPr>
            <w:pStyle w:val="BodyText"/>
          </w:pPr>
          <w:r>
            <w:t xml:space="preserve"> </w:t>
          </w:r>
        </w:p>
        <w:p>
          <w:pPr>
            <w:pStyle w:val="BodyText"/>
          </w:pPr>
          <w:r>
            <w:t xml:space="preserve"> </w:t>
          </w:r>
        </w:p>
        <w:p>
          <w:pPr>
            <w:pStyle w:val="BodyText"/>
          </w:pPr>
          <w:r>
            <w:t xml:space="preserve"> </w:t>
          </w:r>
        </w:p>
        <w:p>
          <w:pPr>
            <w:pStyle w:val="BodyText"/>
          </w:pPr>
          <w:pPr>
            <w:jc w:val="both"/>
          </w:pPr>
          <w:r>
            <w:rPr>
              <w:i/>
              <w:sz w:val="18"/>
            </w:rPr>
            <w:t xml:space="preserve">The content's last review date is indicated on each page. All content is for informational purposes only and may not reflect the most current legal and regulatory developments. All summaries of the laws, regulations and practice are subject to change.</w:t>
          </w:r>
          <w:r>
            <w:rPr>
              <w:sz w:val="18"/>
            </w:rPr>
            <w:t xml:space="preserve"> </w:t>
          </w:r>
        </w:p>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4ca71e30090044fc" /><Relationship Type="http://schemas.openxmlformats.org/officeDocument/2006/relationships/hyperlink" Target="https://www.bakermckenzie.com/en/expertise/practices/real-estate" TargetMode="External" Id="R7aa432ea902a4a09" /><Relationship Type="http://schemas.openxmlformats.org/officeDocument/2006/relationships/hyperlink" Target="https://www.bakermckenzie.com/en/people/g/garciagarza-juan-bernardo" TargetMode="External" Id="R07b5e937d1b740b9" /><Relationship Type="http://schemas.openxmlformats.org/officeDocument/2006/relationships/image" Target="/media/image2.jpg" Id="R5d4530406d9541f6" /><Relationship Type="http://schemas.openxmlformats.org/officeDocument/2006/relationships/hyperlink" Target="https://www.bakermckenzie.com/en/people/f/farnell-ben" TargetMode="External" Id="R227b5eeb2f5b4211" /><Relationship Type="http://schemas.openxmlformats.org/officeDocument/2006/relationships/image" Target="/media/image3.jpg" Id="Reb9fda0e34144373" /><Relationship Type="http://schemas.openxmlformats.org/officeDocument/2006/relationships/hyperlink" Target="https://resourcehub.bakermckenzie.com/en/-/media/global-sustainable-building-guide/files/global-sustainable-buildings-index---september-2024_v2.pdf?rev=6c048b009aae46c1bd5ceeac99622280&amp;sc_lang=en" TargetMode="External" Id="Rad65371357df4634" /><Relationship Type="http://schemas.openxmlformats.org/officeDocument/2006/relationships/image" Target="/media/image3.png" Id="R7e10f12478394105"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