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Private M&amp;A Guide - Limited External Content</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2181225" cy="1085850"/>
                <wp:effectExtent l="19050" t="0" r="0" b="0"/>
                <wp:docPr id="2" name="https://resourcehub.bakermckenzie.com/en/-/media/secured/global-private-ma-guide/images/transactional-powerhouse_banner_int119787.png?rev=34aa95f3f7bf465ca6a4609334862be1&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secured/global-private-ma-guide/images/transactional-powerhouse_banner_int119787.png?rev=34aa95f3f7bf465ca6a4609334862be1&amp;sc_lang=en" descr="powerhouse"/>
                        <pic:cNvPicPr>
                          <a:picLocks noChangeAspect="1" noChangeArrowheads="1"/>
                        </pic:cNvPicPr>
                      </pic:nvPicPr>
                      <pic:blipFill>
                        <a:blip r:embed="R68edef5b567e4bd5"/>
                        <a:srcRect/>
                        <a:stretch>
                          <a:fillRect/>
                        </a:stretch>
                      </pic:blipFill>
                      <pic:spPr bwMode="auto">
                        <a:xfrm>
                          <a:off x="0" y="0"/>
                          <a:ext cx="2181225" cy="1085850"/>
                        </a:xfrm>
                        <a:prstGeom prst="rect">
                          <a:avLst/>
                        </a:prstGeom>
                      </pic:spPr>
                    </pic:pic>
                  </a:graphicData>
                </a:graphic>
              </wp:inline>
            </w:drawing>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68edef5b567e4bd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