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Global Private M&amp;A Guide - Limited External Content</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r>
            <w:drawing>
              <wp:inline distT="0" distB="0" distL="0" distR="0">
                <wp:extent cx="2181225" cy="1085850"/>
                <wp:effectExtent l="19050" t="0" r="0" b="0"/>
                <wp:docPr id="2" name="https://resourcehub.bakermckenzie.com/en/-/media/global-private-ma-guide---limited-version/transactional-powerhouse_banner_int119787.png?sc_lang=en&amp;amp;rev=74b747891d8d427297f20429042f8d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resourcehub.bakermckenzie.com/en/-/media/global-private-ma-guide---limited-version/transactional-powerhouse_banner_int119787.png?sc_lang=en&amp;amp;rev=74b747891d8d427297f20429042f8d01" descr="powerhouse"/>
                        <pic:cNvPicPr>
                          <a:picLocks noChangeAspect="1" noChangeArrowheads="1"/>
                        </pic:cNvPicPr>
                      </pic:nvPicPr>
                      <pic:blipFill>
                        <a:blip r:embed="R07568e92ffb84b73"/>
                        <a:srcRect/>
                        <a:stretch>
                          <a:fillRect/>
                        </a:stretch>
                      </pic:blipFill>
                      <pic:spPr bwMode="auto">
                        <a:xfrm>
                          <a:off x="0" y="0"/>
                          <a:ext cx="2181225" cy="1085850"/>
                        </a:xfrm>
                        <a:prstGeom prst="rect">
                          <a:avLst/>
                        </a:prstGeom>
                      </pic:spPr>
                    </pic:pic>
                  </a:graphicData>
                </a:graphic>
              </wp:inline>
            </w:drawing>
          </w:r>
        </w:p>
      </w:sdtContent>
    </w:sdt>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 </w:t>
      </w:r>
      <w:r>
        <w:rPr>
          <w:b/>
        </w:rPr>
        <w:t xml:space="preserve">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w:t>
      </w:r>
      <w:r>
        <w:t xml:space="preserve"> </w:t>
      </w:r>
      <w:r>
        <w:rPr>
          <w:b/>
        </w:rPr>
        <w:t xml:space="preserve">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of reasonable portions of the Content is permitted provided that (i) such reproductions are made available free of charge and for non-commercial purposes, (ii) such reproductions are properly attributed to Baker McKenzie, (iii) the portion of the Content being reproduced is not altered or made available in a manner that modifies the Content or presents the Content being reproduced in a false light and (iv) notice is made to the disclaimers included on the Content. The permission to re-copy does not allow for incorporation of any substantial portion of the Content in any work or publication, whether in hard copy, electronic or any other form or for commercial purposes.</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https://resourcehub.bakermckenzie.com/en/resources/global-private-ma-guide-limited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image" Target="/media/image3.png" Id="R07568e92ffb84b73" /></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