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Data and Cyber Handbook</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global-data-and-cyber-handbook/images/global-data--cyber-handbook_resourcehub.jpg?h=200&amp;amp;w=680&amp;amp;rev=c6e88895b4ae43808ac2512d77d65e09&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data-and-cyber-handbook/images/global-data--cyber-handbook_resourcehub.jpg?h=200&amp;amp;w=680&amp;amp;rev=c6e88895b4ae43808ac2512d77d65e09&amp;sc_lang=en" descr="Banner_1"/>
                        <pic:cNvPicPr>
                          <a:picLocks noChangeAspect="1" noChangeArrowheads="1"/>
                        </pic:cNvPicPr>
                      </pic:nvPicPr>
                      <pic:blipFill>
                        <a:blip r:embed="Re18df3e5cfb349ed"/>
                        <a:srcRect/>
                        <a:stretch>
                          <a:fillRect/>
                        </a:stretch>
                      </pic:blipFill>
                      <pic:spPr bwMode="auto">
                        <a:xfrm>
                          <a:off x="0" y="0"/>
                          <a:ext cx="7620000" cy="2857500"/>
                        </a:xfrm>
                        <a:prstGeom prst="rect">
                          <a:avLst/>
                        </a:prstGeom>
                      </pic:spPr>
                    </pic:pic>
                  </a:graphicData>
                </a:graphic>
              </wp:inline>
            </w:drawing>
          </w:r>
        </w:p>
        <w:p>
          <w:pPr>
            <w:pStyle w:val="BodyText"/>
          </w:pPr>
          <w:pPr>
            <w:pStyle w:val="Heading5"/>
          </w:pPr>
          <w:r>
            <w:t xml:space="preserve">The Data &amp; Cyber Frontier: Seizing opportunities and managing risks </w:t>
          </w:r>
        </w:p>
        <w:p>
          <w:pPr>
            <w:pStyle w:val="BodyText"/>
          </w:pPr>
          <w:r>
            <w:t xml:space="preserve">Data is a critical asset in today’s globally connected economy. Rapidly evolving technologies have made it easier than ever for companies to collect, use and transfer data throughout the world. Yet strict data and cybersecurity regulation is evolving rapidly, imposing complex and often inconsistent standards.</w:t>
          </w:r>
        </w:p>
        <w:p>
          <w:pPr>
            <w:pStyle w:val="BodyText"/>
          </w:pPr>
          <w:r>
            <w:t xml:space="preserve">We can help companies navigate the myriad of challenging data protection, privacy and cybersecurity laws, regulations and guidance in all regions globally, with our team of experts ready to assist wherever you need us.</w:t>
          </w:r>
        </w:p>
        <w:p>
          <w:pPr>
            <w:pStyle w:val="BodyText"/>
          </w:pPr>
          <w:r>
            <w:t xml:space="preserve">Our </w:t>
          </w:r>
          <w:r>
            <w:rPr>
              <w:b/>
            </w:rPr>
            <w:t xml:space="preserve">Global Data &amp; Cyber Handbook</w:t>
          </w:r>
          <w:r>
            <w:t xml:space="preserve"> is updated annually to help you keep up with the dynamic legal landscape. We provide detailed overviews and offer a comparative perspective on the increasingly complex and sophisticated data and cyber standards in over 50 countries.</w:t>
          </w:r>
        </w:p>
        <w:p>
          <w:pPr>
            <w:pStyle w:val="BodyText"/>
          </w:pPr>
          <w:r>
            <w:rPr>
              <w:b/>
            </w:rPr>
            <w:t xml:space="preserve">Select a jurisdiction of interest from the dropdown menu at the top left of this page or use the "Start comparison" option at the top right for a comparative view.</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t xml:space="preserve">View all related professionals </w:t>
          </w:r>
          <w:hyperlink w:history="true" r:id="R0e16ca5bdbb54e4e">
            <w:r>
              <w:rPr>
                <w:rStyle w:val="Hyperlink"/>
              </w:rPr>
              <w:t xml:space="preserve">here</w:t>
            </w:r>
          </w:hyperlink>
          <w:r>
            <w:t xml:space="preserve">.</w:t>
          </w:r>
        </w:p>
        <w:p>
          <w:pPr>
            <w:pStyle w:val="BodyText"/>
          </w:pPr>
          <w:pPr>
            <w:jc w:val="both"/>
          </w:pPr>
          <w:r>
            <w:rPr>
              <w:i/>
              <w:sz w:val="18"/>
            </w:rPr>
            <w:t xml:space="preserve">Advising on data and cyber compliance requires a detailed understanding of both the explicit requirements of the law, and the wider context, including the interaction between different obligations, the evolving expectations of regulators as expressed through guidance and enforcement activity, and emerging market practice. Our Handbook captures our local experts’ best answer to the questions in the Handbook, which may reflect purely the explicit requirements of the law, or be informed by the wider compliance context. The content in our Handbook is provided for informational purposes only and is not offered as legal or professional advice for any specific matter (see the links at the bottom of this page for full terms of use).</w:t>
          </w:r>
        </w:p>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people?services=7ebdea0c-e6a9-4bea-b0e3-c8e5f9e716c7&amp;amp;scroll=0&amp;amp;usefallback=true" TargetMode="External" Id="R0e16ca5bdbb54e4e" /><Relationship Type="http://schemas.openxmlformats.org/officeDocument/2006/relationships/image" Target="/media/image.jpg" Id="Re18df3e5cfb349e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