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81924" cy="714375"/>
                <wp:effectExtent l="19050" t="0" r="0" b="0"/>
                <wp:docPr id="5" name="https://resourcehub.bakermckenzie.com/en/-/media/fighting-domestic-violence/reports/banners/uae_banner_v1.jpg?h=75&amp;amp;w=817&amp;amp;rev=404ef5b9a057461e8f80b5981397be2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uae_banner_v1.jpg?h=75&amp;amp;w=817&amp;amp;rev=404ef5b9a057461e8f80b5981397be27&amp;sc_lang=en" descr=""/>
                        <pic:cNvPicPr>
                          <a:picLocks noChangeAspect="1" noChangeArrowheads="1"/>
                        </pic:cNvPicPr>
                      </pic:nvPicPr>
                      <pic:blipFill>
                        <a:blip r:embed="Rb214ef46a5074181"/>
                        <a:srcRect/>
                        <a:stretch>
                          <a:fillRect/>
                        </a:stretch>
                      </pic:blipFill>
                      <pic:spPr bwMode="auto">
                        <a:xfrm>
                          <a:off x="0" y="0"/>
                          <a:ext cx="7781924"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5381625" cy="942975"/>
                <wp:effectExtent l="19050" t="0" r="0" b="0"/>
                <wp:docPr id="6" name="https://resourcehub.bakermckenzie.com/en/-/media/fighting-domestic-violence/reports/quotes/united-kingdom_quote_v1/uae_quote_v1.jpg?h=99&amp;amp;w=565&amp;amp;rev=b092fb55b46a4af7a480bc08d9304f1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united-kingdom_quote_v1/uae_quote_v1.jpg?h=99&amp;amp;w=565&amp;amp;rev=b092fb55b46a4af7a480bc08d9304f1f&amp;sc_lang=en" descr=""/>
                        <pic:cNvPicPr>
                          <a:picLocks noChangeAspect="1" noChangeArrowheads="1"/>
                        </pic:cNvPicPr>
                      </pic:nvPicPr>
                      <pic:blipFill>
                        <a:blip r:embed="R05c75c3a436e48f0"/>
                        <a:srcRect/>
                        <a:stretch>
                          <a:fillRect/>
                        </a:stretch>
                      </pic:blipFill>
                      <pic:spPr bwMode="auto">
                        <a:xfrm>
                          <a:off x="0" y="0"/>
                          <a:ext cx="5381625" cy="942975"/>
                        </a:xfrm>
                        <a:prstGeom prst="rect">
                          <a:avLst/>
                        </a:prstGeom>
                      </pic:spPr>
                    </pic:pic>
                  </a:graphicData>
                </a:graphic>
              </wp:inline>
            </w:drawing>
          </w:r>
          <w:r>
            <w:t xml:space="preserve">             </w:t>
          </w:r>
          <w:r>
            <w:t xml:space="preserve">															</w:t>
          </w:r>
          <w:r>
            <w:t xml:space="preserve"> </w:t>
          </w:r>
          <w:r>
            <w:drawing>
              <wp:inline distT="0" distB="0" distL="0" distR="0">
                <wp:extent cx="1381125" cy="1962150"/>
                <wp:effectExtent l="19050" t="0" r="0" b="0"/>
                <wp:docPr id="7" name="https://resourcehub.bakermckenzie.com/en/-/media/fighting-domestic-violence/reports/tile-images/2021_mena_v2.jpg?h=206&amp;amp;w=145&amp;amp;rev=b40153ac57f347ac9aef5fd944f50de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mena_v2.jpg?h=206&amp;amp;w=145&amp;amp;rev=b40153ac57f347ac9aef5fd944f50de9&amp;sc_lang=en" descr=""/>
                        <pic:cNvPicPr>
                          <a:picLocks noChangeAspect="1" noChangeArrowheads="1"/>
                        </pic:cNvPicPr>
                      </pic:nvPicPr>
                      <pic:blipFill>
                        <a:blip r:embed="Raeb311eb11264efb"/>
                        <a:srcRect/>
                        <a:stretch>
                          <a:fillRect/>
                        </a:stretch>
                      </pic:blipFill>
                      <pic:spPr bwMode="auto">
                        <a:xfrm>
                          <a:off x="0" y="0"/>
                          <a:ext cx="1381125" cy="1962150"/>
                        </a:xfrm>
                        <a:prstGeom prst="rect">
                          <a:avLst/>
                        </a:prstGeom>
                      </pic:spPr>
                    </pic:pic>
                  </a:graphicData>
                </a:graphic>
              </wp:inline>
            </w:drawing>
          </w:r>
        </w:p>
        <w:p>
          <w:pPr>
            <w:pStyle w:val="BodyText"/>
          </w:pPr>
          <w:pPr>
            <w:jc w:val="right"/>
          </w:pPr>
          <w:r>
            <w:t xml:space="preserve">																							</w:t>
          </w:r>
          <w:r>
            <w:t xml:space="preserve">   </w:t>
          </w:r>
          <w:hyperlink w:history="true" r:id="R89a088f7a27f4d0f">
            <w:r>
              <w:rPr>
                <w:rStyle w:val="Hyperlink"/>
              </w:rPr>
              <w:t xml:space="preserve">UAE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c1904af7ed214ba1"/>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br/>
                  </w:r>
                </w:p>
                <w:p>
                  <w:pPr>
                    <w:pStyle w:val="BodyText"/>
                  </w:pPr>
                  <w:r>
                    <w:t xml:space="preserve">The principal law is the 2019 UAE Federal-Decree Law No. 10 "On the Protection Against Domestic Violence" ("</w:t>
                  </w:r>
                  <w:r>
                    <w:rPr>
                      <w:b/>
                    </w:rPr>
                    <w:t xml:space="preserve">2019 Federal-Decree Law No. 10</w:t>
                  </w:r>
                  <w:r>
                    <w:t xml:space="preserve">").</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judiciary is entirely independent and judges are subject to no authority other than the rule of law and their conscience. Therefore, there is no controlling case law.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 public prosecution of the UAE courts is responsible for addressing domestic violence, in cooperation with other public bodies. The public prosecution is part of Abu Dhabi Judicial Authority. It has the competence to initiate and take action on criminal cases, as a representative of the public and society's members, by referral to the court or by issuing a decision of dismissal.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may include any act, word, offense, abuse or threat committed by a family member against another family member beyond the guardianship, custody, dependency, power or responsibility vested in them, involving bodily, psychological, sexual or economic harm.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public prosecution of the UAE courts may, of its own accord or at the victim's request, issue a restraining order obliging the abuser to do the following:</w:t>
                  </w:r>
                </w:p>
                <w:p>
                  <w:pPr>
                    <w:pStyle w:val="BodyText"/>
                  </w:pPr>
                  <w:pPr>
                    <w:pStyle w:val="ListParagraph"/>
                    <w:numPr>
                      <w:ilvl w:val="0"/>
                      <w:numId w:val="13"/>
                    </w:numPr>
                  </w:pPr>
                  <w:r>
                    <w:t xml:space="preserve">stay away from the victim</w:t>
                  </w:r>
                </w:p>
                <w:p>
                  <w:pPr>
                    <w:pStyle w:val="BodyText"/>
                  </w:pPr>
                  <w:pPr>
                    <w:pStyle w:val="ListParagraph"/>
                    <w:numPr>
                      <w:ilvl w:val="0"/>
                      <w:numId w:val="13"/>
                    </w:numPr>
                  </w:pPr>
                  <w:r>
                    <w:t xml:space="preserve">stay away from the places prescribed for protecting the victim or any other place mentioned in the restraining order</w:t>
                  </w:r>
                </w:p>
                <w:p>
                  <w:pPr>
                    <w:pStyle w:val="BodyText"/>
                  </w:pPr>
                  <w:pPr>
                    <w:pStyle w:val="ListParagraph"/>
                    <w:numPr>
                      <w:ilvl w:val="0"/>
                      <w:numId w:val="13"/>
                    </w:numPr>
                  </w:pPr>
                  <w:r>
                    <w:t xml:space="preserve">not afflict damage on the personal property of the victim or any of their family members</w:t>
                  </w:r>
                </w:p>
                <w:p>
                  <w:pPr>
                    <w:pStyle w:val="BodyText"/>
                  </w:pPr>
                  <w:pPr>
                    <w:pStyle w:val="ListParagraph"/>
                    <w:numPr>
                      <w:ilvl w:val="0"/>
                      <w:numId w:val="13"/>
                    </w:numPr>
                  </w:pPr>
                  <w:r>
                    <w:t xml:space="preserve">enable the victim or their delegate to receive their necessary personal belongings</w:t>
                  </w:r>
                </w:p>
                <w:p>
                  <w:pPr>
                    <w:pStyle w:val="BodyText"/>
                  </w:pPr>
                  <w:pPr>
                    <w:pStyle w:val="ListParagraph"/>
                    <w:numPr>
                      <w:ilvl w:val="0"/>
                      <w:numId w:val="13"/>
                    </w:numPr>
                  </w:pPr>
                  <w:r>
                    <w:t xml:space="preserve">any other procedures that the public prosecution deems necessary to include in the restraining order, which would provide effective protection for the victim or any persons who are likely to be exposed to harm due to their relationship with the victim</w:t>
                  </w:r>
                </w:p>
                <w:p>
                  <w:pPr>
                    <w:pStyle w:val="BodyText"/>
                  </w:pPr>
                  <w:r>
                    <w:t xml:space="preserve">Whoever violates a restraining order issued under the provisions of the 2019 Federal-Decree Law No. 10 will be sentenced to imprisonment for up to three months and/or a fine of between AED 1,000 and AED 10,000. The penalty will be doubled if the restraining order is violated by using violence against any person covered by this law.</w:t>
                  </w:r>
                </w:p>
                <w:p>
                  <w:pPr>
                    <w:pStyle w:val="BodyText"/>
                  </w:pPr>
                  <w:r>
                    <w:t xml:space="preserve">Whoever commits any of the domestic violence acts identified in the law, will be sentenced to imprisonment for up to six months and/or a fine of up to AED 5,000. The UAE courts may double the penalty if the perpetrator commits any of the domestic violence acts within one year of committing the previous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has no mention of whether protection from domestic violence is identified as a human right.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UAE has ratified the UN Convention on the Elimination of All Forms of Discrimination against Women (CEDAW).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specific actions taken by the UAE on the implementation of the recommendations part into national law. As mentioned in Section 1, the principal law is the 2019 Federal-Decree Law No. 10, all definitions and consequences of a breach of the law are addressed in this note.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UAE has ratified the UN Convention on the Elimination of All Forms of Discrimination against Women (CEDAW). We understand that the Maputo Protocol is for African Union member states only.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Means any act, word, offense, abuse or threat committed by a family member against another family member beyond the guardianship, custody, dependency, power or responsibility vested in them, involving bodily, psychological, sexual or economic harm.</w:t>
                  </w:r>
                  <w:r>
                    <w:rPr>
                      <w:color w:val="8DB3E2"/>
                      <w:vertAlign w:val="superscript"/>
                    </w:rPr>
                    <w:t xml:space="preserve">[1]</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before="0"/>
                  </w:pPr>
                  <w:r>
                    <w:t xml:space="preserve">Not defined in the 2019 Federal-Decree Law No. 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defined in the 2019 Federal-Decree Law No. 10.</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terms are defined in the 2019 Federal-Decree Law No. 10:</w:t>
                  </w:r>
                </w:p>
                <w:p>
                  <w:pPr>
                    <w:pStyle w:val="BodyText"/>
                  </w:pPr>
                  <w:pPr>
                    <w:pStyle w:val="ListParagraph"/>
                    <w:numPr>
                      <w:ilvl w:val="0"/>
                      <w:numId w:val="12"/>
                    </w:numPr>
                  </w:pPr>
                  <w:r>
                    <w:t xml:space="preserve">Physical abuse means any assault by any means on the victim's body, even if it has no impact.</w:t>
                  </w:r>
                </w:p>
                <w:p>
                  <w:pPr>
                    <w:pStyle w:val="BodyText"/>
                  </w:pPr>
                  <w:pPr>
                    <w:pStyle w:val="ListParagraph"/>
                    <w:numPr>
                      <w:ilvl w:val="0"/>
                      <w:numId w:val="12"/>
                    </w:numPr>
                  </w:pPr>
                  <w:r>
                    <w:t xml:space="preserve">Psychological abuse means any acts or words causing psychological harm.</w:t>
                  </w:r>
                </w:p>
                <w:p>
                  <w:pPr>
                    <w:pStyle w:val="BodyText"/>
                  </w:pPr>
                  <w:pPr>
                    <w:pStyle w:val="ListParagraph"/>
                    <w:numPr>
                      <w:ilvl w:val="0"/>
                      <w:numId w:val="12"/>
                    </w:numPr>
                  </w:pPr>
                  <w:r>
                    <w:t xml:space="preserve">Sexual abuse means any act constituting a sexual assault or harassment on the victim or exploitation of the same by any means.</w:t>
                  </w:r>
                </w:p>
                <w:p>
                  <w:pPr>
                    <w:pStyle w:val="BodyText"/>
                  </w:pPr>
                  <w:pPr>
                    <w:pStyle w:val="ListParagraph"/>
                    <w:numPr>
                      <w:ilvl w:val="0"/>
                      <w:numId w:val="12"/>
                    </w:numPr>
                  </w:pPr>
                  <w:r>
                    <w:t xml:space="preserve">Economic abuse means any act leading to depriving the victim of their right or freedom to dispose of their money with the intention of afflicting damage thereon.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restraining orders that the public prosecution may (of its own accord or at the victim's request) issue, requiring the abuser to do the following:</w:t>
                  </w:r>
                </w:p>
                <w:p>
                  <w:pPr>
                    <w:pStyle w:val="BodyText"/>
                  </w:pPr>
                  <w:pPr>
                    <w:pStyle w:val="ListParagraph"/>
                    <w:numPr>
                      <w:ilvl w:val="0"/>
                      <w:numId w:val="11"/>
                    </w:numPr>
                  </w:pPr>
                  <w:r>
                    <w:t xml:space="preserve">stay away from the victim</w:t>
                  </w:r>
                </w:p>
                <w:p>
                  <w:pPr>
                    <w:pStyle w:val="BodyText"/>
                  </w:pPr>
                  <w:pPr>
                    <w:pStyle w:val="ListParagraph"/>
                    <w:numPr>
                      <w:ilvl w:val="0"/>
                      <w:numId w:val="11"/>
                    </w:numPr>
                  </w:pPr>
                  <w:r>
                    <w:t xml:space="preserve">stay away from the places prescribed for protecting the victim or any other place mentioned in the restraining order</w:t>
                  </w:r>
                </w:p>
                <w:p>
                  <w:pPr>
                    <w:pStyle w:val="BodyText"/>
                  </w:pPr>
                  <w:pPr>
                    <w:pStyle w:val="ListParagraph"/>
                    <w:numPr>
                      <w:ilvl w:val="0"/>
                      <w:numId w:val="11"/>
                    </w:numPr>
                  </w:pPr>
                  <w:r>
                    <w:t xml:space="preserve">not afflict damage on the personal property of the victim or any of the victim's family members</w:t>
                  </w:r>
                </w:p>
                <w:p>
                  <w:pPr>
                    <w:pStyle w:val="BodyText"/>
                  </w:pPr>
                  <w:pPr>
                    <w:pStyle w:val="ListParagraph"/>
                    <w:numPr>
                      <w:ilvl w:val="0"/>
                      <w:numId w:val="11"/>
                    </w:numPr>
                  </w:pPr>
                  <w:r>
                    <w:t xml:space="preserve">enable the victim or their delegate to receive their necessary personal belongings</w:t>
                  </w:r>
                </w:p>
                <w:p>
                  <w:pPr>
                    <w:pStyle w:val="BodyText"/>
                  </w:pPr>
                  <w:pPr>
                    <w:pStyle w:val="ListParagraph"/>
                    <w:numPr>
                      <w:ilvl w:val="0"/>
                      <w:numId w:val="11"/>
                    </w:numPr>
                  </w:pPr>
                  <w:r>
                    <w:t xml:space="preserve">any other procedures that the public prosecution deems necessary to include in the restraining order, which would provide effective protection for the victim or any persons who are likely to be exposed to harm due to their relationship with the victim</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stated above, restraining orders may be requested by the victim, or at the court's own accord.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does not differentiate child victims from adult victims. A child who is permanently or temporarily deprived of their natural family environment will be entitled to alternative care through either:</w:t>
                  </w:r>
                </w:p>
                <w:p>
                  <w:pPr>
                    <w:pStyle w:val="BodyText"/>
                  </w:pPr>
                  <w:pPr>
                    <w:pStyle w:val="ListParagraph"/>
                    <w:numPr>
                      <w:ilvl w:val="0"/>
                      <w:numId w:val="10"/>
                    </w:numPr>
                  </w:pPr>
                  <w:r>
                    <w:t xml:space="preserve">a foster family </w:t>
                  </w:r>
                </w:p>
                <w:p>
                  <w:pPr>
                    <w:pStyle w:val="BodyText"/>
                  </w:pPr>
                  <w:pPr>
                    <w:pStyle w:val="ListParagraph"/>
                    <w:numPr>
                      <w:ilvl w:val="0"/>
                      <w:numId w:val="10"/>
                    </w:numPr>
                  </w:pPr>
                  <w:r>
                    <w:t xml:space="preserve">a public or private social care institution in case of a lack of a foster family</w:t>
                  </w:r>
                </w:p>
                <w:p>
                  <w:pPr>
                    <w:pStyle w:val="BodyText"/>
                  </w:pPr>
                  <w:r>
                    <w:t xml:space="preserve">The child protection specialist may submit a proposal to the child's parents or custodian to place the child temporary with an alternative family, an association or an appropriate social, educational or health institution, whether private or public, if it is proven to the child protection specialist that there is a threat to the child's safety or physical, psychological, emotional or mental health.</w:t>
                  </w:r>
                </w:p>
                <w:p>
                  <w:pPr>
                    <w:pStyle w:val="BodyText"/>
                  </w:pPr>
                  <w:r>
                    <w:t xml:space="preserve">The child protection specialist is a person licensed and assigned by the competent authority or the concerned bodies to preserve the child's rights and protect them within their respective competence.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abuser may be subject to an order to stay away from places the victim frequents.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victim's circumstances, the public prosecution may apply further procedures at its discretion.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is silent on this matter.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response below in 4.2, relating to time limits.</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provided in relation to </w:t>
                  </w:r>
                  <w:r>
                    <w:rPr>
                      <w:i/>
                    </w:rPr>
                    <w:t xml:space="preserve">ex parte</w:t>
                  </w:r>
                  <w:r>
                    <w:t xml:space="preserve"> orders.</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public prosecution may apply such a procedure at its own discretion. However, it should be noted (as stated above) that the public prosecution may order the abuser to not afflict damage on the personal property of the family members of the victim. As mentioned above, depending on the circumstances, the public prosecution may apply further procedures at its discretion.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below, relating to time limits.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is silent on the documentation the victim requires to obtain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2019 Federal Decree Law No. 10 is silent on the hearing.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may receive the remedies that the public prosecution applies as stated above.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restraining order will not exceed 30 days, however, the public prosecution may renew such order for two similar periods not exceeding 60 days. The period may also be renewed by a decision of the competent court up to six months later. It should be noted that the abuser as well as the victim may appeal the restraining order before the competent court within seven months from the date of its issuance (Article 7 of the 2019 Federal-Decree Law No. 10).</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depends on the circumstance of the victim and the likelihood of the victim being exposed to harm from the abuser (as per Article 6(5) of the 2019 Federal-Decree Law No. 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public prosecution has the discretion to include any other procedures it finds necessary in order to protect the victim.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2019 Federal-Decree Law No. 10 is silent on age limits.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This can be requested, but the court has the discretion to award any costs.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can be requested, but the court has the discretion to award any costs.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soon as they are notified of the incident.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law firm is appointed by either 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It is not discussed.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has a duty to testify honestly and completely under oath. If the witness statement is found to be incorrect, there could be another charge.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Court or the prosecution requested the witness to testify, then the witness should attend to testify. Otherwise, the court or prosecutor can apply a fine or issue an arrest order against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explained earlier, the witness should testify if requested by the court or prosecutor as per UAE Law.</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provide any special protections, but this could be requested from the courts.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More severe penalties and punishments.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has the discretion to determine the penalties and sentencing. The judge has the ability to sentence the offender to imprisonment for up to three months and/or a fine of between AED 1,000 and AED 10,000.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has the discretion to penalize accordingly.</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above.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battered woman syndrome is not a defense in itself, but the courts will consider whether the victim was defending herself at a reasonable level (and in doing so committed the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matter is not addressed under UAE laws but a UAE court has the discretion to issue such order at its discretion.</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concept of "for good cause" is not recognized as such under UAE laws.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not dealt with under UAE laws and will be subject to the agreement with employer.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working spouse/parent must sponsor the non-working expatriates to be able to reside in the UAE. This gives significant control to the sponsor over the sponsored family members, which can lead to abuse of such power.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immigration authorities have the right to provide temporary sponsorship to replace the sponsor but this is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2019 Federal-Decree Law No. 10 does not differentiate between military and non-military abusers.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matters of custody, UAE courts follow the principles of Sharia law, which would be dealt with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limited circumstances within which a landlord can force a tenant to leave a premises and this is not one of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convicted in a criminal case, the court can prohibit the abuser from residing in a certain place or even prohibit the abuser from visiting certain public places. Please see Articles 110-114 from the Federal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if the abuser is a father, he is responsible for providing a house for the family.</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vertAlign w:val="superscript"/>
                    </w:rPr>
                    <w:t xml:space="preserve">[1]  </w:t>
                  </w:r>
                  <w:r>
                    <w:t xml:space="preserve">Article 3 of the 2019 Federal-Decree Law No. 10.</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b214ef46a5074181" /><Relationship Type="http://schemas.openxmlformats.org/officeDocument/2006/relationships/image" Target="/media/image2.jpg" Id="R05c75c3a436e48f0" /><Relationship Type="http://schemas.openxmlformats.org/officeDocument/2006/relationships/image" Target="/media/image3.jpg" Id="Raeb311eb11264efb" /><Relationship Type="http://schemas.openxmlformats.org/officeDocument/2006/relationships/hyperlink" Target="https://resourcehub.bakermckenzie.com/en/-/media/fighting-domestic-violence/reports/reports/2021_fdv_united-kingdom.pdf?rev=30ea42f45aa54387bdc72b268dd4d6ad&amp;sc_lang=en" TargetMode="External" Id="R89a088f7a27f4d0f" /><Relationship Type="http://schemas.openxmlformats.org/officeDocument/2006/relationships/image" Target="/media/image4.jpg" Id="Rc1904af7ed214ba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