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Vietnam</w:t>
      </w:r>
      <w:r w:rsidR="00480329"/>
    </w:p>
    <w:p w:rsidRPr="00BC7873" w:rsidR="00BC7873" w:rsidP="00D354EF" w:rsidRDefault="00051AB4" w14:paraId="2476CC56" w14:textId="2FB25FA9">
      <w:pPr>
        <w:pStyle w:val="Title"/>
      </w:pPr>
      <w:r w:rsidRPr="00BC7873">
        <w:t>Artificial Intelligence, Profiling and Automated Decision Making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or requirements related to creating profiles of data subjects or utilizing automated decision-making for decisions related to data subjects, including with respect to artificial intelligence?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such restrictions or requirements exist, are they subject to any exceptions?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issued guidance on data privacy and artificial intelligence,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taken enforcement action in relation to artificial intelligence, including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No enforcement activity to date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(non-personal data  or cybersecurity) laws or regulations impose restrictions on use of artificial intelligence,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  Yes, laws in force</w:t>
              </w:r>
            </w:p>
            <w:p>
              <w:pPr>
                <w:pStyle w:val="BodyText"/>
              </w:pPr>
              <w:r>
                <w:t xml:space="preserve">☒  Draft legislation in progress</w:t>
              </w:r>
            </w:p>
            <w:p>
              <w:pPr>
                <w:pStyle w:val="BodyText"/>
              </w:pPr>
              <w:r>
                <w:t xml:space="preserve">☒  Non-binding guidance or principles issued or in progress</w:t>
              </w:r>
            </w:p>
            <w:p>
              <w:pPr>
                <w:pStyle w:val="BodyText"/>
              </w:pPr>
              <w:r>
                <w:t xml:space="preserve">Consumer Protection Law requires operators of large digital platforms to periodically assess the use of AI and fully/partially automated solutions. Under the draft decree guiding this Law, this assessment must be submitted to a competent authority on an on-request basis.</w:t>
              </w:r>
            </w:p>
            <w:p>
              <w:pPr>
                <w:pStyle w:val="BodyText"/>
              </w:pPr>
              <w:r>
                <w:t xml:space="preserve">Vietnam is also drafting a National Standard on Artificial Intelligence – Life Cycle Processes and Quality Requirements ("</w:t>
              </w:r>
              <w:r>
                <w:rPr>
                  <w:b/>
                </w:rPr>
                <w:t xml:space="preserve">Draft Standard</w:t>
              </w:r>
              <w:r>
                <w:t xml:space="preserve">"). The Draft Standard is based on DIN SPEC 92001-1 and 92001-2 and comprises two parts: Part 1: Quality Metamodel (</w:t>
              </w:r>
              <w:hyperlink w:history="true" r:id="R15178926e499427d">
                <w:r>
                  <w:rPr>
                    <w:rStyle w:val="Hyperlink"/>
                  </w:rPr>
                  <w:t xml:space="preserve">link</w:t>
                </w:r>
              </w:hyperlink>
              <w:r>
                <w:t xml:space="preserve">) and Part 2: Robustness (</w:t>
              </w:r>
              <w:hyperlink w:history="true" r:id="Rb9681b676e674f18">
                <w:r>
                  <w:rPr>
                    <w:rStyle w:val="Hyperlink"/>
                  </w:rPr>
                  <w:t xml:space="preserve">link</w:t>
                </w:r>
              </w:hyperlink>
              <w:r>
                <w:t xml:space="preserve">). An explanation (in Vietnamese) of the Draft Standard can be found at this </w:t>
              </w:r>
              <w:hyperlink w:history="true" r:id="Rccf4bbf62ad4449d">
                <w:r>
                  <w:rPr>
                    <w:rStyle w:val="Hyperlink"/>
                  </w:rPr>
                  <w:t xml:space="preserve">link</w:t>
                </w:r>
              </w:hyperlink>
              <w:r>
                <w:t xml:space="preserve">. Although a standard is generally applied on a voluntary basis, it can become legally binding if it is referenced by a legal document or technical regulation.</w:t>
              </w:r>
            </w:p>
            <w:p>
              <w:pPr>
                <w:pStyle w:val="BodyText"/>
              </w:pPr>
              <w:r>
                <w:t xml:space="preserve">Two national standards on AI were issued in late 2023 by the Minister of Science and Technology for voluntary application (as of now):</w:t>
              </w:r>
            </w:p>
            <w:p>
              <w:pPr>
                <w:pStyle w:val="BodyText"/>
              </w:pPr>
              <w:pPr>
                <w:pStyle w:val="ListParagraph"/>
                <w:numPr>
                  <w:ilvl w:val="0"/>
                  <w:numId w:val="9"/>
                </w:numPr>
              </w:pPr>
              <w:r>
                <w:t xml:space="preserve">National Standard No. TCVN 13902:2023 ISO/IEC 22989:2022 in Information technology - Artificial intelligence - Artificial intelligence concepts and terminology: This standard is equivalent to ISO/IEC 22989:2022, providing terminology for AI and describing concepts in the field of AI. </w:t>
              </w:r>
            </w:p>
            <w:p>
              <w:pPr>
                <w:pStyle w:val="BodyText"/>
              </w:pPr>
              <w:pPr>
                <w:pStyle w:val="ListParagraph"/>
                <w:numPr>
                  <w:ilvl w:val="0"/>
                  <w:numId w:val="9"/>
                </w:numPr>
              </w:pPr>
              <w:r>
                <w:t xml:space="preserve">National Standard No. TCVN 13903:2023 ISO/IEC TR 24028:2020 in Information technology - Artificial intelligence - Overview of trustworthiness in artificial intelligence: This standard is equivalent to ISO/IEC TR 24028:2020, surveying topics related to trustworthiness in AI systems, including the following:</w:t>
              </w:r>
            </w:p>
            <w:p>
              <w:pPr>
                <w:pStyle w:val="BodyText"/>
              </w:pPr>
              <w:pPr>
                <w:pStyle w:val="ListParagraph"/>
                <w:numPr>
                  <w:ilvl w:val="1"/>
                  <w:numId w:val="10"/>
                </w:numPr>
                <w:ind w:left="1560"/>
              </w:pPr>
              <w:r>
                <w:t xml:space="preserve">approaches to establish trust in AI systems through transparency, explainability, controllability, etc.</w:t>
              </w:r>
            </w:p>
            <w:p>
              <w:pPr>
                <w:pStyle w:val="BodyText"/>
              </w:pPr>
              <w:pPr>
                <w:pStyle w:val="ListParagraph"/>
                <w:numPr>
                  <w:ilvl w:val="1"/>
                  <w:numId w:val="10"/>
                </w:numPr>
                <w:ind w:left="1560"/>
              </w:pPr>
              <w:r>
                <w:t xml:space="preserve">engineering pitfalls and typical associated threats and risks to AI systems, along with possible mitigation techniques and methods, and</w:t>
              </w:r>
            </w:p>
            <w:p>
              <w:pPr>
                <w:pStyle w:val="BodyText"/>
              </w:pPr>
              <w:pPr>
                <w:pStyle w:val="ListParagraph"/>
                <w:numPr>
                  <w:ilvl w:val="1"/>
                  <w:numId w:val="10"/>
                </w:numPr>
                <w:ind w:left="1560"/>
              </w:pPr>
              <w:r>
                <w:t xml:space="preserve">approaches to assess and achieve availability, resiliency, reliability, accuracy, safety, security and privacy of AI systems</w:t>
              </w:r>
            </w:p>
            <w:p>
              <w:pPr>
                <w:pStyle w:val="BodyText"/>
              </w:pPr>
              <w:r>
                <w:t xml:space="preserve">On 11 June 2024, the Minister of the Ministry of Science and Technology of Vietnam issued Decision No. 1290/QD-BKHCN providing guidance on principles for researching and developing responsible Artificial Intelligence (AI) systems ("</w:t>
              </w:r>
              <w:r>
                <w:rPr>
                  <w:b/>
                </w:rPr>
                <w:t xml:space="preserve">Decision</w:t>
              </w:r>
              <w:r>
                <w:t xml:space="preserve">").</w:t>
              </w:r>
            </w:p>
            <w:p>
              <w:pPr>
                <w:pStyle w:val="BodyText"/>
              </w:pPr>
              <w:pPr>
                <w:pStyle w:val="ListParagraph"/>
                <w:numPr>
                  <w:ilvl w:val="0"/>
                  <w:numId w:val="11"/>
                </w:numPr>
              </w:pPr>
              <w:r>
                <w:t xml:space="preserve">This Decision, which came into effect immediately upon issuance, is enclosed with Version 1.0 of the Guide on Principles for Researching and Developing Responsible AI Systems ("</w:t>
              </w:r>
              <w:r>
                <w:rPr>
                  <w:b/>
                </w:rPr>
                <w:t xml:space="preserve">Guide</w:t>
              </w:r>
              <w:r>
                <w:t xml:space="preserve">"). It is essential to highlight that the Guide is established as a voluntary standard rather than a mandatory rule. </w:t>
              </w:r>
            </w:p>
            <w:p>
              <w:pPr>
                <w:pStyle w:val="BodyText"/>
              </w:pPr>
              <w:pPr>
                <w:pStyle w:val="ListParagraph"/>
                <w:numPr>
                  <w:ilvl w:val="0"/>
                  <w:numId w:val="11"/>
                </w:numPr>
              </w:pPr>
              <w:r>
                <w:t xml:space="preserve">The Decision emphasizes a human-centric approach, stressing the importance of balancing the economic benefits of AI with ethical considerations and legal compliance.</w:t>
              </w:r>
            </w:p>
            <w:p>
              <w:pPr>
                <w:pStyle w:val="BodyText"/>
              </w:pPr>
              <w:r>
                <w:t xml:space="preserve">The MIC is working on a draft Law on Digital Technology Industry ("</w:t>
              </w:r>
              <w:r>
                <w:rPr>
                  <w:b/>
                </w:rPr>
                <w:t xml:space="preserve">DTI Law</w:t>
              </w:r>
              <w:r>
                <w:t xml:space="preserve">"). </w:t>
              </w:r>
              <w:r>
                <w:t xml:space="preserve">The draft law is expected to be submitted to the National Assembly for official enactment in May 2025.</w:t>
              </w:r>
              <w:r>
                <w:t xml:space="preserve"> </w:t>
              </w:r>
              <w:r>
                <w:t xml:space="preserve">Importantly, AI is a focus of this law. The lawmakers dedicated a section on AI, which we summarize below:</w:t>
              </w:r>
            </w:p>
            <w:p>
              <w:pPr>
                <w:pStyle w:val="BodyText"/>
              </w:pPr>
              <w:pPr>
                <w:pStyle w:val="ListParagraph"/>
                <w:numPr>
                  <w:ilvl w:val="0"/>
                  <w:numId w:val="12"/>
                </w:numPr>
              </w:pPr>
              <w:r>
                <w:t xml:space="preserve">The draft DTI law introduces a nuanced approach to classifying AI systems, distinguishing between "high-risk" and "high-impact" AI systems.</w:t>
              </w:r>
            </w:p>
            <w:p>
              <w:pPr>
                <w:pStyle w:val="BodyText"/>
              </w:pPr>
              <w:pPr>
                <w:pStyle w:val="ListParagraph"/>
                <w:numPr>
                  <w:ilvl w:val="0"/>
                  <w:numId w:val="12"/>
                </w:numPr>
              </w:pPr>
              <w:r>
                <w:t xml:space="preserve">Three key actors in the AI ecosystem are identified: developers, providers, and users. AI developers and providers bear most of the obligations.</w:t>
              </w:r>
            </w:p>
            <w:p>
              <w:pPr>
                <w:pStyle w:val="BodyText"/>
              </w:pPr>
              <w:pPr>
                <w:pStyle w:val="ListParagraph"/>
                <w:numPr>
                  <w:ilvl w:val="0"/>
                  <w:numId w:val="12"/>
                </w:numPr>
              </w:pPr>
              <w:r>
                <w:t xml:space="preserve">A specific label would be affixed on digital tech products generated by AI.</w:t>
              </w:r>
            </w:p>
            <w:p>
              <w:pPr>
                <w:pStyle w:val="BodyText"/>
              </w:pPr>
              <w:pPr>
                <w:pStyle w:val="ListParagraph"/>
                <w:numPr>
                  <w:ilvl w:val="0"/>
                  <w:numId w:val="12"/>
                </w:numPr>
              </w:pPr>
              <w:r>
                <w:t xml:space="preserve">A </w:t>
              </w:r>
              <w:r>
                <w:t xml:space="preserve">set of ethical principles is introduced, applicable to all actors throughout the AI lifecycle.</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1"/>
    <w:lvlOverride w:ilvl="0">
      <w:startOverride w:val="1"/>
    </w:lvlOverride>
  </w:num>
  <w:num w:numId="11">
    <w:abstractNumId w:val="9"/>
    <w:lvlOverride w:ilvl="0">
      <w:startOverride w:val="1"/>
    </w:lvlOverride>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mic.gov.vn/Upload_Moi/VanBan/1.-D%E1%BB%B1-th%E1%BA%A3o-TCVN-AI-P1.M%C3%B4-h%C3%ACnh-Meta-DIN-SPEC-92001-1-2019.pdf" TargetMode="External" Id="R15178926e499427d" /><Relationship Type="http://schemas.openxmlformats.org/officeDocument/2006/relationships/hyperlink" Target="https://www.mic.gov.vn/Upload_Moi/VanBan/2.-d%E1%BB%B1-thao-TCVN-AI-P2.%C4%90%E1%BB%99-b%E1%BB%81n-v%E1%BB%AFng-DIN-SPEC-92001-2-2020.pdf" TargetMode="External" Id="Rb9681b676e674f18" /><Relationship Type="http://schemas.openxmlformats.org/officeDocument/2006/relationships/hyperlink" Target="https://www.mic.gov.vn/Upload_Moi/VanBan/2.TM--c%C3%A1c-du-thao-TCVN-AI-DIN-SPEC-92001-1-v%C3%A0-92001-2.pdf" TargetMode="External" Id="Rccf4bbf62ad4449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