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Vietnam</w:t>
      </w:r>
      <w:r w:rsidR="00480329"/>
    </w:p>
    <w:p w:rsidRPr="00BC7873" w:rsidR="00BC7873" w:rsidP="00D354EF" w:rsidRDefault="00051AB4" w14:paraId="2476CC56" w14:textId="2FB25FA9">
      <w:pPr>
        <w:pStyle w:val="Title"/>
      </w:pPr>
      <w:r w:rsidRPr="00BC7873">
        <w:t>Data localization and regulation of non-personal data</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data localization/data residency or other types of laws that may require the retention and storage of data in the local jurisdiction, or prohibit the transfer of data out of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a)   data localization / data residency laws that mandate retention of personal data or a copy thereof in the local jurisdiction (include whether copies or the original data may also be stored outside of the jurisdiction):</w:t>
              </w:r>
            </w:p>
            <w:p>
              <w:pPr>
                <w:pStyle w:val="BodyText"/>
              </w:pPr>
              <w:r>
                <w:t xml:space="preserve">The Cybersecurity Law and Decree No. 53 impose data localization obligations on onshore and offshore providers of telecommunications services, internet services, and value-added services in cyberspace ("</w:t>
              </w:r>
              <w:r>
                <w:rPr>
                  <w:b/>
                </w:rPr>
                <w:t xml:space="preserve">Cyberspace Service Providers – CSP</w:t>
              </w:r>
              <w:r>
                <w:t xml:space="preserve">"). The specific triggering conditions and requirements are as follows:</w:t>
              </w:r>
            </w:p>
            <w:tbl>
              <w:pPr>
                <w:pStyle w:val="BodyText"/>
              </w:pPr>
              <w:tblPr>
                <w:tblStyle w:val="TableGrid"/>
                <w:tblW w:w="4750" w:type="pct"/>
                <w:tblCellSpacing w:w="0" w:type="dxa"/>
                <w:tblCellMar>
                  <w:top w:w="0" w:type="dxa"/>
                  <w:left w:w="0" w:type="dxa"/>
                  <w:bottom w:w="0" w:type="dxa"/>
                  <w:right w:w="0" w:type="dxa"/>
                </w:tblCellMar>
              </w:tblPr>
              <w:tblGrid>
                <w:gridCol/>
                <w:gridCol/>
                <w:gridCol/>
              </w:tblGrid>
              <w:tr>
                <w:tc>
                  <w:tcPr>
                    <w:tcMar>
                      <w:right w:w="108" w:type="dxa"/>
                      <w:left w:w="108" w:type="dxa"/>
                    </w:tcMar>
                    <w:vAlign w:val="center"/>
                  </w:tcPr>
                  <w:p>
                    <w:pPr>
                      <w:jc w:val="left"/>
                    </w:pPr>
                    <w:r>
                      <w:t xml:space="preserve"> </w:t>
                    </w:r>
                  </w:p>
                </w:tc>
                <w:tc>
                  <w:tcPr>
                    <w:tcMar>
                      <w:right w:w="108" w:type="dxa"/>
                      <w:left w:w="108" w:type="dxa"/>
                    </w:tcMar>
                    <w:vAlign w:val="center"/>
                  </w:tcPr>
                  <w:p>
                    <w:pPr>
                      <w:jc w:val="left"/>
                    </w:pPr>
                    <w:r>
                      <w:rPr>
                        <w:b/>
                      </w:rPr>
                      <w:t xml:space="preserve">Domestic entities</w:t>
                    </w:r>
                  </w:p>
                </w:tc>
                <w:tc>
                  <w:tcPr>
                    <w:tcMar>
                      <w:right w:w="108" w:type="dxa"/>
                      <w:left w:w="108" w:type="dxa"/>
                    </w:tcMar>
                    <w:vAlign w:val="center"/>
                  </w:tcPr>
                  <w:p>
                    <w:pPr>
                      <w:jc w:val="left"/>
                    </w:pPr>
                    <w:r>
                      <w:rPr>
                        <w:b/>
                      </w:rPr>
                      <w:t xml:space="preserve">Offshore entities</w:t>
                    </w:r>
                  </w:p>
                </w:tc>
              </w:tr>
              <w:tr>
                <w:tc>
                  <w:tcPr>
                    <w:tcMar>
                      <w:right w:w="108" w:type="dxa"/>
                      <w:left w:w="108" w:type="dxa"/>
                    </w:tcMar>
                    <w:vAlign w:val="center"/>
                  </w:tcPr>
                  <w:p>
                    <w:pPr>
                      <w:jc w:val="left"/>
                    </w:pPr>
                    <w:r>
                      <w:rPr>
                        <w:b/>
                      </w:rPr>
                      <w:t xml:space="preserve">Conditions</w:t>
                    </w:r>
                  </w:p>
                </w:tc>
                <w:tc>
                  <w:tcPr>
                    <w:tcMar>
                      <w:right w:w="108" w:type="dxa"/>
                      <w:left w:w="108" w:type="dxa"/>
                    </w:tcMar>
                    <w:vAlign w:val="center"/>
                  </w:tcPr>
                  <w:p>
                    <w:pPr>
                      <w:jc w:val="left"/>
                    </w:pPr>
                    <w:r>
                      <w:rPr>
                        <w:b/>
                      </w:rPr>
                      <w:t xml:space="preserve">(A1)</w:t>
                    </w:r>
                    <w:r>
                      <w:t xml:space="preserve"> Being a CSP, </w:t>
                    </w:r>
                    <w:r>
                      <w:rPr>
                        <w:b/>
                      </w:rPr>
                      <w:t xml:space="preserve">AND</w:t>
                    </w:r>
                  </w:p>
                  <w:p>
                    <w:r>
                      <w:t xml:space="preserve"> </w:t>
                    </w:r>
                  </w:p>
                  <w:p>
                    <w:r>
                      <w:rPr>
                        <w:b/>
                      </w:rPr>
                      <w:t xml:space="preserve">(A2)</w:t>
                    </w:r>
                    <w:r>
                      <w:t xml:space="preserve"> Collecting, exploiting, analyzing, and/or processing data on personal information, data on the relationship of the service users, and data created by service users in Vietnam ("</w:t>
                    </w:r>
                    <w:r>
                      <w:rPr>
                        <w:b/>
                      </w:rPr>
                      <w:t xml:space="preserve">Regulated Data</w:t>
                    </w:r>
                    <w:r>
                      <w:t xml:space="preserve">").</w:t>
                    </w:r>
                  </w:p>
                </w:tc>
                <w:tc>
                  <w:tcPr>
                    <w:tcMar>
                      <w:right w:w="108" w:type="dxa"/>
                      <w:left w:w="108" w:type="dxa"/>
                    </w:tcMar>
                    <w:vAlign w:val="center"/>
                  </w:tcPr>
                  <w:p>
                    <w:pPr>
                      <w:jc w:val="left"/>
                    </w:pPr>
                    <w:r>
                      <w:rPr>
                        <w:b/>
                      </w:rPr>
                      <w:t xml:space="preserve">(B1)</w:t>
                    </w:r>
                    <w:r>
                      <w:t xml:space="preserve"> Being a CSP (specific services/business lines are provided)</w:t>
                    </w:r>
                  </w:p>
                  <w:p>
                    <w:r>
                      <w:t xml:space="preserve"> </w:t>
                    </w:r>
                  </w:p>
                  <w:p>
                    <w:r>
                      <w:rPr>
                        <w:b/>
                      </w:rPr>
                      <w:t xml:space="preserve">(B2)</w:t>
                    </w:r>
                    <w:r>
                      <w:t xml:space="preserve"> Collecting, exploiting, analyzing, and/or processing Regulated Data</w:t>
                    </w:r>
                  </w:p>
                  <w:p>
                    <w:r>
                      <w:t xml:space="preserve"> </w:t>
                    </w:r>
                  </w:p>
                  <w:p>
                    <w:r>
                      <w:rPr>
                        <w:b/>
                      </w:rPr>
                      <w:t xml:space="preserve">(B3)</w:t>
                    </w:r>
                    <w:r>
                      <w:t xml:space="preserve"> Its services are used to commit acts violating the law on cybersecurity for which the MPS A05 has notified and requested coordination, prevention, investigation and handling in writing</w:t>
                    </w:r>
                  </w:p>
                  <w:p>
                    <w:r>
                      <w:t xml:space="preserve"> </w:t>
                    </w:r>
                  </w:p>
                  <w:p>
                    <w:r>
                      <w:rPr>
                        <w:b/>
                      </w:rPr>
                      <w:t xml:space="preserve">(B4)</w:t>
                    </w:r>
                    <w:r>
                      <w:t xml:space="preserve"> The offshore entity fails to comply, complies insufficiently or prevents, hinders, neutralizes or invalidates cybersecurity protection measures taken by the specialized force in charge of cybersecurity protection, </w:t>
                    </w:r>
                    <w:r>
                      <w:rPr>
                        <w:b/>
                      </w:rPr>
                      <w:t xml:space="preserve">AND</w:t>
                    </w:r>
                  </w:p>
                  <w:p>
                    <w:r>
                      <w:t xml:space="preserve"> </w:t>
                    </w:r>
                  </w:p>
                  <w:p>
                    <w:r>
                      <w:rPr>
                        <w:b/>
                      </w:rPr>
                      <w:t xml:space="preserve">(B5)</w:t>
                    </w:r>
                    <w:r>
                      <w:t xml:space="preserve"> The MPS issues a decision requesting data storage and the establishment of a branch or representative office in Vietnam.</w:t>
                    </w:r>
                  </w:p>
                </w:tc>
              </w:tr>
              <w:tr>
                <w:tc>
                  <w:tcPr>
                    <w:tcMar>
                      <w:right w:w="108" w:type="dxa"/>
                      <w:left w:w="108" w:type="dxa"/>
                    </w:tcMar>
                    <w:vAlign w:val="center"/>
                  </w:tcPr>
                  <w:p>
                    <w:pPr>
                      <w:jc w:val="left"/>
                    </w:pPr>
                    <w:r>
                      <w:rPr>
                        <w:b/>
                      </w:rPr>
                      <w:t xml:space="preserve">Requirements</w:t>
                    </w:r>
                  </w:p>
                </w:tc>
                <w:tc>
                  <w:tcPr>
                    <w:tcMar>
                      <w:right w:w="108" w:type="dxa"/>
                      <w:left w:w="108" w:type="dxa"/>
                    </w:tcMar>
                    <w:vAlign w:val="center"/>
                  </w:tcPr>
                  <w:p>
                    <w:pPr>
                      <w:jc w:val="left"/>
                    </w:pPr>
                    <w:r>
                      <w:t xml:space="preserve">Store the above data in Vietnam.</w:t>
                    </w:r>
                  </w:p>
                </w:tc>
                <w:tc>
                  <w:tcPr>
                    <w:tcMar>
                      <w:right w:w="108" w:type="dxa"/>
                      <w:left w:w="108" w:type="dxa"/>
                    </w:tcMar>
                    <w:vAlign w:val="center"/>
                  </w:tcPr>
                  <w:p>
                    <w:pPr>
                      <w:jc w:val="left"/>
                    </w:pPr>
                    <w:r>
                      <w:t xml:space="preserve">Store the above data in Vietnam; </w:t>
                    </w:r>
                    <w:r>
                      <w:rPr>
                        <w:b/>
                      </w:rPr>
                      <w:t xml:space="preserve">AND</w:t>
                    </w:r>
                  </w:p>
                  <w:p>
                    <w:r>
                      <w:t xml:space="preserve"> </w:t>
                    </w:r>
                  </w:p>
                  <w:p>
                    <w:r>
                      <w:t xml:space="preserve">Set up either a representative office or a branch in Vietnam.</w:t>
                    </w:r>
                  </w:p>
                </w:tc>
              </w:tr>
            </w:tbl>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law or regulation impose mandatory requirements to share or make accessible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  Obligation for public sector organizations to share or make accessible non-personal data</w:t>
              </w:r>
            </w:p>
            <w:p>
              <w:pPr>
                <w:pStyle w:val="BodyText"/>
              </w:pPr>
              <w:r>
                <w:t xml:space="preserve">☒  Obligation for private organizations to share or make accessible non-personal health data</w:t>
              </w:r>
            </w:p>
            <w:p>
              <w:pPr>
                <w:pStyle w:val="BodyText"/>
              </w:pPr>
              <w:r>
                <w:t xml:space="preserve">☒  Obligation for private organizations to share or make accessible non-personal financial data</w:t>
              </w:r>
            </w:p>
            <w:p>
              <w:pPr>
                <w:pStyle w:val="BodyText"/>
              </w:pPr>
              <w:r>
                <w:t xml:space="preserve">☒  Obligation for private organizations to share or make accessible other non-personal data</w:t>
              </w:r>
            </w:p>
            <w:p>
              <w:pPr>
                <w:pStyle w:val="BodyText"/>
              </w:pPr>
              <w:r>
                <w:rPr>
                  <w:b/>
                  <w:i/>
                </w:rPr>
                <w:t xml:space="preserve">If so, please provide brief details of the relevant law or regulation.</w:t>
              </w:r>
            </w:p>
            <w:p>
              <w:pPr>
                <w:pStyle w:val="BodyText"/>
              </w:pPr>
              <w:r>
                <w:t xml:space="preserve">According to the Data Law, State authorities are responsible for announcing the list of open data and organizing its public disclosure for organizations and individuals to exploit, use and share. Open data is defined as data that any agency, organization, or individual can access, share, exploit, and use as needed. State authorities must make certain information publicly available or provide on-demand access to citizens in relation to their right to access information under the Information Access Law.</w:t>
              </w:r>
            </w:p>
            <w:p>
              <w:pPr>
                <w:pStyle w:val="BodyText"/>
              </w:pPr>
              <w:r>
                <w:t xml:space="preserve">The Medical Law permits access to medical records (covering personal and non-personal information) during and after treatment by different organizations and individuals under certain conditions. For example, representatives of State agencies in charge of health, investigative agencies, procuracies, courts, health inspectors, forensic organizations, forensic psychiatrists, and patients' lawyers are allowed to access and provide medical records to perform their tasks in accordance with relevant laws.</w:t>
              </w:r>
            </w:p>
            <w:p>
              <w:pPr>
                <w:pStyle w:val="BodyText"/>
              </w:pPr>
              <w:r>
                <w:t xml:space="preserve">Law 2024 on Credit Institutions and Decree No. 117/2018/ND-CP on the protection of confidentiality and provision of client information of credit institutions and foreign banks’ branches oblige credit institutions and foreign bank branches to provide client information to State authorities, organizations and individuals upon a lawful request. Client information may include non-personal information if all personal identifiers are removed from the dataset.</w:t>
              </w:r>
            </w:p>
            <w:p>
              <w:pPr>
                <w:pStyle w:val="BodyText"/>
              </w:pPr>
              <w:r>
                <w:t xml:space="preserve">The Cybersecurity Law and Decree No. 53 empower competent cybersecurity authorities to collect electronic data from any organizations and individuals to serve the investigation and handling of acts that violate national security, social order and safety, and the legitimate rights and interests of agencies, organizations and individuals in cyberspace.</w:t>
              </w:r>
            </w:p>
            <w:p>
              <w:pPr>
                <w:pStyle w:val="BodyText"/>
              </w:pPr>
              <w:r>
                <w:t xml:space="preserve">The Data Law mandates organizations and individuals to provide data to State agencies upon request, even without the data subject's consent, in the following specific circumstances: emergency response, threats to national security that are yet to be a state of emergency, disasters, and prevention and control of riots and terrorism.</w:t>
              </w:r>
            </w:p>
            <w:p>
              <w:pPr>
                <w:pStyle w:val="BodyText"/>
              </w:pPr>
              <w:r>
                <w:t xml:space="preserve">There are other laws generally requiring organizations and individuals to comply with lawful requests from State authorities, which might necessitate the disclosure of data (e.g., in relation to the investigation of a crime).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specific obligations do these data-sharing rules impose on private organizations?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w:t>
              </w:r>
              <w:r>
                <w:t xml:space="preserve">  </w:t>
              </w:r>
              <w:r>
                <w:t xml:space="preserve">Obligation to share data on request</w:t>
              </w:r>
            </w:p>
            <w:p>
              <w:pPr>
                <w:pStyle w:val="BodyText"/>
              </w:pPr>
              <w:r>
                <w:t xml:space="preserve">☒</w:t>
              </w:r>
              <w:r>
                <w:t xml:space="preserve">  </w:t>
              </w:r>
              <w:r>
                <w:t xml:space="preserve">Obligation to share data proactively</w:t>
              </w:r>
            </w:p>
            <w:p>
              <w:pPr>
                <w:pStyle w:val="BodyText"/>
              </w:pPr>
              <w:r>
                <w:t xml:space="preserve">☒</w:t>
              </w:r>
              <w:r>
                <w:t xml:space="preserve">  </w:t>
              </w:r>
              <w:r>
                <w:t xml:space="preserve">Obligation to (re)design products or services to facilitate data accessibility</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