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Vietnam</w:t>
      </w:r>
      <w:r w:rsidR="00480329"/>
    </w:p>
    <w:p w:rsidRPr="00BC7873" w:rsidR="00BC7873" w:rsidP="00D354EF" w:rsidRDefault="00051AB4" w14:paraId="2476CC56" w14:textId="2FB25FA9">
      <w:pPr>
        <w:pStyle w:val="Title"/>
      </w:pPr>
      <w:r w:rsidRPr="00BC7873">
        <w:t>Territorial Scope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territorial reach of the data privacy and cybersecurity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  applies to organizations located in the jurisdiction</w:t>
              </w:r>
            </w:p>
            <w:p>
              <w:pPr>
                <w:pStyle w:val="BodyText"/>
              </w:pPr>
              <w:r>
                <w:t xml:space="preserve">☒  no express territorial scope, but would require some nexus to the jurisdiction</w:t>
              </w:r>
            </w:p>
            <w:p>
              <w:pPr>
                <w:pStyle w:val="BodyText"/>
              </w:pPr>
              <w:r>
                <w:t xml:space="preserve">The PDPD applies to:</w:t>
              </w:r>
            </w:p>
            <w:p>
              <w:pPr>
                <w:pStyle w:val="BodyText"/>
              </w:pPr>
              <w:pPr>
                <w:pStyle w:val="ListParagraph"/>
                <w:numPr>
                  <w:ilvl w:val="0"/>
                  <w:numId w:val="9"/>
                </w:numPr>
              </w:pPr>
              <w:r>
                <w:t xml:space="preserve">Vietnamese agencies, organizations and individuals</w:t>
              </w:r>
            </w:p>
            <w:p>
              <w:pPr>
                <w:pStyle w:val="BodyText"/>
              </w:pPr>
              <w:pPr>
                <w:pStyle w:val="ListParagraph"/>
                <w:numPr>
                  <w:ilvl w:val="0"/>
                  <w:numId w:val="9"/>
                </w:numPr>
              </w:pPr>
              <w:r>
                <w:t xml:space="preserve">Foreign agencies, organizations and individuals in Vietnam</w:t>
              </w:r>
            </w:p>
            <w:p>
              <w:pPr>
                <w:pStyle w:val="BodyText"/>
              </w:pPr>
              <w:pPr>
                <w:pStyle w:val="ListParagraph"/>
                <w:numPr>
                  <w:ilvl w:val="0"/>
                  <w:numId w:val="9"/>
                </w:numPr>
              </w:pPr>
              <w:r>
                <w:t xml:space="preserve">Vietnamese agencies, organizations and individuals operating in foreign countries, and</w:t>
              </w:r>
            </w:p>
            <w:p>
              <w:pPr>
                <w:pStyle w:val="BodyText"/>
              </w:pPr>
              <w:pPr>
                <w:pStyle w:val="ListParagraph"/>
                <w:numPr>
                  <w:ilvl w:val="0"/>
                  <w:numId w:val="9"/>
                </w:numPr>
              </w:pPr>
              <w:r>
                <w:t xml:space="preserve">Foreign agencies, organizations and individuals directly involved in or related to the processing of personal data in Vietnam</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