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Vietnam</w:t>
      </w:r>
      <w:r w:rsidR="00480329"/>
    </w:p>
    <w:p w:rsidRPr="00BC7873" w:rsidR="00BC7873" w:rsidP="00D354EF" w:rsidRDefault="00051AB4" w14:paraId="2476CC56" w14:textId="2FB25FA9">
      <w:pPr>
        <w:pStyle w:val="Title"/>
      </w:pPr>
      <w:r w:rsidRPr="00BC7873">
        <w:t>DPOs and Notification Requirements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concept of data protection officer (DPO) recognized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circumstances in which it is mandatory to appoint a DPO or similar position?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If yes, under what circumstances?</w:t>
              </w:r>
            </w:p>
            <w:p>
              <w:pPr>
                <w:pStyle w:val="BodyText"/>
              </w:pPr>
              <w:r>
                <w:t xml:space="preserve">☒  other</w:t>
              </w:r>
            </w:p>
            <w:p>
              <w:pPr>
                <w:pStyle w:val="BodyText"/>
              </w:pPr>
              <w:r>
                <w:t xml:space="preserve">The PDPD requires the designation of a data protection officer and department when sensitive personal data is under processing.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Where a DPO is appointed, does the DPO have to meet specific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N/A</w:t>
              </w:r>
            </w:p>
            <w:p>
              <w:pPr>
                <w:pStyle w:val="BodyText"/>
              </w:pPr>
              <w:r>
                <w:t xml:space="preserve">The PDPD is silent on the specific requirements that a DPO must meet.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to notify, submit filings to, register with or obtain approval from local data protection authorities to collect and/or process personal data generally?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Data controllers and processors are required to submit a Personal Data Impact Assessment ("</w:t>
              </w:r>
              <w:r>
                <w:rPr>
                  <w:b/>
                </w:rPr>
                <w:t xml:space="preserve">DPIA</w:t>
              </w:r>
              <w:r>
                <w:t xml:space="preserve">") to the MPS (the A05 Department) when engaging in personal data processing operations regulated by the PDPD. If personal data of a Vietnamese citizen is transferred overseas, data exporters must submit an Overseas Data Transfer Impact Assessment ("</w:t>
              </w:r>
              <w:r>
                <w:rPr>
                  <w:b/>
                </w:rPr>
                <w:t xml:space="preserve">OTIA</w:t>
              </w:r>
              <w:r>
                <w:t xml:space="preserve">") to the MPS A05. Decision No. 4660/QD-BCA announcing newly issued administrative procedures in personal data protection under the Ministry of Public Security's authority ("</w:t>
              </w:r>
              <w:r>
                <w:rPr>
                  <w:b/>
                </w:rPr>
                <w:t xml:space="preserve">Decision 4660</w:t>
              </w:r>
              <w:r>
                <w:t xml:space="preserve">") stipulates new DPIA and OTIA templates, according to which consent forms and data processing agreements must accompany the assessment dossier. Approval of the DPIA and OTIA is, however, not a prerequisite for data processing or overseas transfer.</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