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Saudi Arabia - Saudi Stock Exchange</w:t>
      </w:r>
      <w:r w:rsidR="00480329"/>
    </w:p>
    <w:p w:rsidRPr="00BC7873" w:rsidR="00BC7873" w:rsidP="00D354EF" w:rsidRDefault="00051AB4" w14:paraId="2476CC56" w14:textId="2FB25FA9">
      <w:pPr>
        <w:pStyle w:val="Title"/>
      </w:pPr>
      <w:r w:rsidRPr="00BC7873">
        <w:t>Fees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undertaking an IPO must pay fees to the CMA for the registration of the securities. The fees payable to the CMA for listing on the Main Market are:</w:t>
              </w:r>
            </w:p>
            <w:p>
              <w:pPr>
                <w:pStyle w:val="BodyText"/>
              </w:pPr>
              <w:pPr>
                <w:pStyle w:val="ListParagraph"/>
                <w:numPr>
                  <w:ilvl w:val="0"/>
                  <w:numId w:val="9"/>
                </w:numPr>
              </w:pPr>
              <w:r>
                <w:t xml:space="preserve">SAR30,000 (approximately US$7,999) upon submitting an application for registration of the securities.</w:t>
              </w:r>
            </w:p>
            <w:p>
              <w:pPr>
                <w:pStyle w:val="BodyText"/>
              </w:pPr>
              <w:pPr>
                <w:pStyle w:val="ListParagraph"/>
                <w:numPr>
                  <w:ilvl w:val="0"/>
                  <w:numId w:val="9"/>
                </w:numPr>
              </w:pPr>
              <w:r>
                <w:t xml:space="preserve">SAR10,000 (approximately US$2,666) for reviewing the IPO application.</w:t>
              </w:r>
            </w:p>
            <w:p>
              <w:pPr>
                <w:pStyle w:val="BodyText"/>
              </w:pPr>
              <w:pPr>
                <w:pStyle w:val="ListParagraph"/>
                <w:numPr>
                  <w:ilvl w:val="0"/>
                  <w:numId w:val="9"/>
                </w:numPr>
              </w:pPr>
              <w:r>
                <w:t xml:space="preserve">0.025% of the value of the shares to be registered, up to a maximum of SAR225,000 (approximately US$59,994).</w:t>
              </w:r>
            </w:p>
            <w:p>
              <w:pPr>
                <w:pStyle w:val="BodyText"/>
              </w:pPr>
              <w:r>
                <w:t xml:space="preserve">Once a company has listed it must also pay annual fees to Tadawul. These fees are split into fixed fees, which depend on the services that Tadawul provides a company, and variable fees, which depend upon the number of shares of a listed company.</w:t>
              </w:r>
            </w:p>
            <w:p>
              <w:pPr>
                <w:pStyle w:val="BodyText"/>
              </w:pPr>
              <w:r>
                <w:t xml:space="preserve">Additional costs include financial advisor fees, legal counsel fees, accountant's fees, underwriting fees as well as printing expenses.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