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Corporate Real Estate Guide - Colombia</w:t>
      </w:r>
      <w:r w:rsidR="00480329"/>
    </w:p>
    <w:p w:rsidRPr="00BC7873" w:rsidR="00BC7873" w:rsidP="00D354EF" w:rsidRDefault="00051AB4" w14:paraId="2476CC56" w14:textId="2FB25FA9">
      <w:pPr>
        <w:pStyle w:val="Title"/>
      </w:pPr>
      <w:r w:rsidRPr="00BC7873">
        <w:t>Real Estate Law</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is included in the term “real estate”?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term “real estate” includes the following:</w:t>
              </w:r>
            </w:p>
            <w:p>
              <w:pPr>
                <w:pStyle w:val="BodyText"/>
              </w:pPr>
              <w:pPr>
                <w:pStyle w:val="ListParagraph"/>
                <w:numPr>
                  <w:ilvl w:val="0"/>
                  <w:numId w:val="12"/>
                </w:numPr>
              </w:pPr>
              <w:r>
                <w:t xml:space="preserve">Land</w:t>
              </w:r>
            </w:p>
            <w:p>
              <w:pPr>
                <w:pStyle w:val="BodyText"/>
              </w:pPr>
              <w:pPr>
                <w:pStyle w:val="ListParagraph"/>
                <w:numPr>
                  <w:ilvl w:val="0"/>
                  <w:numId w:val="12"/>
                </w:numPr>
              </w:pPr>
              <w:r>
                <w:t xml:space="preserve">Any buildings or structures on it</w:t>
              </w:r>
            </w:p>
            <w:p>
              <w:pPr>
                <w:pStyle w:val="BodyText"/>
              </w:pPr>
              <w:pPr>
                <w:pStyle w:val="ListParagraph"/>
                <w:numPr>
                  <w:ilvl w:val="0"/>
                  <w:numId w:val="12"/>
                </w:numPr>
              </w:pPr>
              <w:r>
                <w:t xml:space="preserve">Movable property intended to permanently serve land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laws govern real estate transactions?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Colombia, real estate transactions are governed primarily by the Civil Code.</w:t>
              </w:r>
            </w:p>
            <w:p>
              <w:pPr>
                <w:pStyle w:val="BodyText"/>
              </w:pPr>
              <w:r>
                <w:t xml:space="preserve">Transactions that have commercial purposes are also governed by the Commercial Code.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is the land registration system?</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is a national title registration system that covers the entire Colombian territory. In this registration, ownership can be verified, as well as where public deeds regarding in rem rights, liens and attachments over the property are registered. This system is the only means to verify ownership and mortgages.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Which authority manages the registration of titles?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Title registration is managed by the Superintendence of Notaries and Registration, through public land registrars (“Land Registrars”) located throughout the country.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rights over real property are required to be registered?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Style w:val="ListParagraph"/>
                <w:numPr>
                  <w:ilvl w:val="0"/>
                  <w:numId w:val="11"/>
                </w:numPr>
              </w:pPr>
              <w:r>
                <w:t xml:space="preserve">Transfer of property (i.e., purchase, donation, expropriation)</w:t>
              </w:r>
            </w:p>
            <w:p>
              <w:pPr>
                <w:pStyle w:val="BodyText"/>
              </w:pPr>
              <w:pPr>
                <w:pStyle w:val="ListParagraph"/>
                <w:numPr>
                  <w:ilvl w:val="0"/>
                  <w:numId w:val="11"/>
                </w:numPr>
              </w:pPr>
              <w:r>
                <w:t xml:space="preserve">Leases by public deed</w:t>
              </w:r>
            </w:p>
            <w:p>
              <w:pPr>
                <w:pStyle w:val="BodyText"/>
              </w:pPr>
              <w:pPr>
                <w:pStyle w:val="ListParagraph"/>
                <w:numPr>
                  <w:ilvl w:val="0"/>
                  <w:numId w:val="11"/>
                </w:numPr>
              </w:pPr>
              <w:r>
                <w:t xml:space="preserve">Mortgages</w:t>
              </w:r>
            </w:p>
            <w:p>
              <w:pPr>
                <w:pStyle w:val="BodyText"/>
              </w:pPr>
              <w:pPr>
                <w:pStyle w:val="ListParagraph"/>
                <w:numPr>
                  <w:ilvl w:val="0"/>
                  <w:numId w:val="11"/>
                </w:numPr>
              </w:pPr>
              <w:r>
                <w:t xml:space="preserve">In rem rights (usufruct, easements)</w:t>
              </w:r>
            </w:p>
            <w:p>
              <w:pPr>
                <w:pStyle w:val="BodyText"/>
              </w:pPr>
              <w:pPr>
                <w:pStyle w:val="ListParagraph"/>
                <w:numPr>
                  <w:ilvl w:val="0"/>
                  <w:numId w:val="11"/>
                </w:numPr>
              </w:pPr>
              <w:r>
                <w:t xml:space="preserve">Liens and encumbrances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documents can landowners use to prove ownership over real property?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Land ownership may only be proven with the property land certificate issued by the respective Land Registrar.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a title search be conducted online?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Land Registrar has an online system to search property land certificates over real estate properties registered in such offices. However, it is not possible to search for the public deeds online.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foreigners own real property? Are there nationality restrictions on land ownership?</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Foreigners can own real property in Colombia, except vacant lots located at a national border.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the government expropriate real property?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When there are reasons of public interest (for instance, road or power transmission construction), the government can expropriate real property through an administrative or judicial procedure. In all cases, the government must indemnify the owner of the property with the commercial price of the real property and additional compensation value.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can real estate be held?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Real estate is usually held by the following:</w:t>
              </w:r>
            </w:p>
            <w:p>
              <w:pPr>
                <w:pStyle w:val="BodyText"/>
              </w:pPr>
              <w:pPr>
                <w:pStyle w:val="ListParagraph"/>
                <w:numPr>
                  <w:ilvl w:val="0"/>
                  <w:numId w:val="10"/>
                </w:numPr>
              </w:pPr>
              <w:r>
                <w:t xml:space="preserve">Leasehold</w:t>
              </w:r>
            </w:p>
            <w:p>
              <w:pPr>
                <w:pStyle w:val="BodyText"/>
              </w:pPr>
              <w:pPr>
                <w:pStyle w:val="ListParagraph"/>
                <w:numPr>
                  <w:ilvl w:val="0"/>
                  <w:numId w:val="10"/>
                </w:numPr>
              </w:pPr>
              <w:r>
                <w:t xml:space="preserve">Freehold property</w:t>
              </w:r>
            </w:p>
            <w:p>
              <w:pPr>
                <w:pStyle w:val="BodyText"/>
              </w:pPr>
              <w:pPr>
                <w:pStyle w:val="ListParagraph"/>
                <w:numPr>
                  <w:ilvl w:val="0"/>
                  <w:numId w:val="10"/>
                </w:numPr>
              </w:pPr>
              <w:r>
                <w:t xml:space="preserve">Condominium</w:t>
              </w:r>
            </w:p>
            <w:p>
              <w:pPr>
                <w:pStyle w:val="BodyText"/>
              </w:pPr>
              <w:pPr>
                <w:pStyle w:val="ListParagraph"/>
                <w:numPr>
                  <w:ilvl w:val="0"/>
                  <w:numId w:val="10"/>
                </w:numPr>
              </w:pPr>
              <w:r>
                <w:t xml:space="preserve">Possession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usual structures used in investing in real estate?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Style w:val="ListParagraph"/>
                <w:numPr>
                  <w:ilvl w:val="0"/>
                  <w:numId w:val="9"/>
                </w:numPr>
              </w:pPr>
              <w:r>
                <w:t xml:space="preserve">Corporations</w:t>
              </w:r>
            </w:p>
            <w:p>
              <w:pPr>
                <w:pStyle w:val="BodyText"/>
              </w:pPr>
              <w:pPr>
                <w:pStyle w:val="ListParagraph"/>
                <w:numPr>
                  <w:ilvl w:val="0"/>
                  <w:numId w:val="9"/>
                </w:numPr>
              </w:pPr>
              <w:r>
                <w:t xml:space="preserve">Co-ownership</w:t>
              </w:r>
            </w:p>
            <w:p>
              <w:pPr>
                <w:pStyle w:val="BodyText"/>
              </w:pPr>
              <w:pPr>
                <w:pStyle w:val="ListParagraph"/>
                <w:numPr>
                  <w:ilvl w:val="0"/>
                  <w:numId w:val="9"/>
                </w:numPr>
              </w:pPr>
              <w:r>
                <w:t xml:space="preserve">Limited partnership</w:t>
              </w:r>
            </w:p>
            <w:p>
              <w:pPr>
                <w:pStyle w:val="BodyText"/>
              </w:pPr>
              <w:pPr>
                <w:pStyle w:val="ListParagraph"/>
                <w:numPr>
                  <w:ilvl w:val="0"/>
                  <w:numId w:val="9"/>
                </w:numPr>
              </w:pPr>
              <w:r>
                <w:t xml:space="preserve">Trusts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are real estate transactions usually funded?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These transactions are usually funded through loans granted by financial institutions, which are generally banks. The loans are commonly secured with mortgages over the property. Interest rates are fixed by the lenders and are generally low compared to other rates in the market.</w:t>
              </w:r>
            </w:p>
            <w:p>
              <w:pPr>
                <w:pStyle w:val="BodyText"/>
              </w:pPr>
              <w:r>
                <w:t xml:space="preserve">Financial leasing and trusts are used as well.</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usually produces the documentation in real estate transactions?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Either party may prepare the initial draft of the promissory sales agreement and the draft of the sales agreement public deed. When financial institutions are involved in real estate transactions, they will normally produce the drafts of the contractual documentation. After the sales agreement public deed has been registered in the public registry office, such office will issue the property certificate.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an owner or occupier inherit liability for matters relating to the real estate even if they occurred before the real estate was bought or occupied?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An owner can inherit liability for matters relating to the real estate even if they occurred before the owner bought it. For instance, regarding condominium properties, the new and former owner will be jointly liable for administration expenses caused prior to the acquisition of the property.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Does a seller or occupier retain any liabilities relating to the real estate after they have disposed of it?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former owner is held liable before the new owner in guaranteeing (i) the right of ownership against third parties that may challenge the title for grounds that occurred before the transfer of the property; and (ii) the good physical conditions of the property (absence of hidden defects). Also, it usually is agreed that the former tenant is held liable before the landlord for the public utilities expenses that remain to be paid.</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32">
    <w:multiLevelType w:val="singleLevel"/>
    <w:lvl w:ilvl="0">
      <w:start w:val="1"/>
      <w:numFmt w:val="decimal"/>
      <w:lvlText w:val="%1."/>
      <w:pPr>
        <w:ind w:left="420" w:hanging="360"/>
      </w:pPr>
    </w:lvl>
  </w:abstractNum>
  <w:abstractNum w:abstractNumId="33">
    <w:multiLevelType w:val="singleLevel"/>
    <w:lvl w:ilvl="0">
      <w:numFmt w:val="bullet"/>
      <w:lvlText w:val="•"/>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o"/>
      <w:pPr>
        <w:ind w:left="420" w:hanging="360"/>
      </w:pPr>
    </w:lvl>
  </w:abstractNum>
  <w:abstractNum w:abstractNumId="36">
    <w:multiLevelType w:val="singleLevel"/>
    <w:lvl w:ilvl="0">
      <w:start w:val="1"/>
      <w:numFmt w:val="upperLetter"/>
      <w:lvlText w:val="%1."/>
      <w:pPr>
        <w:ind w:left="420" w:hanging="360"/>
      </w:pPr>
    </w:lvl>
  </w:abstractNum>
  <w:abstractNum w:abstractNumId="37">
    <w:multiLevelType w:val="singleLevel"/>
    <w:lvl w:ilvl="0">
      <w:start w:val="1"/>
      <w:numFmt w:val="lowerLetter"/>
      <w:lvlText w:val="%1."/>
      <w:pPr>
        <w:ind w:left="420" w:hanging="360"/>
      </w:pPr>
    </w:lvl>
  </w:abstractNum>
  <w:abstractNum w:abstractNumId="38">
    <w:multiLevelType w:val="singleLevel"/>
    <w:lvl w:ilvl="0">
      <w:start w:val="1"/>
      <w:numFmt w:val="upperRoman"/>
      <w:lvlText w:val="%1."/>
      <w:pPr>
        <w:ind w:left="420" w:hanging="360"/>
      </w:pPr>
    </w:lvl>
  </w:abstractNum>
  <w:abstractNum w:abstractNumId="39">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7"/>
    <w:lvlOverride w:ilvl="0">
      <w:startOverride w:val="1"/>
    </w:lvlOverride>
  </w:num>
  <w:num w:numId="11">
    <w:abstractNumId w:val="25"/>
    <w:lvlOverride w:ilvl="0">
      <w:startOverride w:val="1"/>
    </w:lvlOverride>
  </w:num>
  <w:num w:numId="12">
    <w:abstractNumId w:val="3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