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Hungary</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Hungarian regulation of the mandatory energy performance certifications is based on Government Decree No. 176/2008. (VI. 30.) on the certification of the energy performance of buildings.</w:t>
              </w:r>
            </w:p>
            <w:p>
              <w:pPr>
                <w:pStyle w:val="BodyText"/>
              </w:pPr>
              <w:r>
                <w:t xml:space="preserve">In accordance with the provisions of the decree, it is mandatory to certify the energy performance of buildings in the following circumstances:</w:t>
              </w:r>
            </w:p>
            <w:p>
              <w:pPr>
                <w:pStyle w:val="BodyText"/>
              </w:pPr>
              <w:pPr>
                <w:pStyle w:val="ListParagraph"/>
                <w:numPr>
                  <w:ilvl w:val="0"/>
                  <w:numId w:val="9"/>
                </w:numPr>
              </w:pPr>
              <w:r>
                <w:t xml:space="preserve">The construction of a new building</w:t>
              </w:r>
            </w:p>
            <w:p>
              <w:pPr>
                <w:pStyle w:val="BodyText"/>
              </w:pPr>
              <w:pPr>
                <w:pStyle w:val="ListParagraph"/>
                <w:numPr>
                  <w:ilvl w:val="0"/>
                  <w:numId w:val="9"/>
                </w:numPr>
              </w:pPr>
              <w:r>
                <w:t xml:space="preserve">The </w:t>
              </w:r>
              <w:r>
                <w:rPr>
                  <w:b/>
                </w:rPr>
                <w:t xml:space="preserve">sale</w:t>
              </w:r>
              <w:r>
                <w:t xml:space="preserve"> or </w:t>
              </w:r>
              <w:r>
                <w:rPr>
                  <w:b/>
                </w:rPr>
                <w:t xml:space="preserve">lease</w:t>
              </w:r>
              <w:r>
                <w:t xml:space="preserve"> of an existing building or an individual building unit</w:t>
              </w:r>
            </w:p>
            <w:p>
              <w:pPr>
                <w:pStyle w:val="BodyText"/>
              </w:pPr>
              <w:pPr>
                <w:pStyle w:val="ListParagraph"/>
                <w:numPr>
                  <w:ilvl w:val="0"/>
                  <w:numId w:val="9"/>
                </w:numPr>
              </w:pPr>
              <w:r>
                <w:t xml:space="preserve">State-owned public buildings with a useful floor area of more than 500 square meters used for public authority purposes</w:t>
              </w:r>
            </w:p>
            <w:p>
              <w:pPr>
                <w:pStyle w:val="BodyText"/>
              </w:pPr>
              <w:r>
                <w:t xml:space="preserve">The following types of buildings are not subject to the decree:</w:t>
              </w:r>
            </w:p>
            <w:p>
              <w:pPr>
                <w:pStyle w:val="BodyText"/>
              </w:pPr>
              <w:pPr>
                <w:pStyle w:val="ListParagraph"/>
                <w:numPr>
                  <w:ilvl w:val="0"/>
                  <w:numId w:val="10"/>
                </w:numPr>
              </w:pPr>
              <w:r>
                <w:t xml:space="preserve">Independent buildings (that are not attached to another building) with a useful floor area of less than 50 square meters</w:t>
              </w:r>
            </w:p>
            <w:p>
              <w:pPr>
                <w:pStyle w:val="BodyText"/>
              </w:pPr>
              <w:pPr>
                <w:pStyle w:val="ListParagraph"/>
                <w:numPr>
                  <w:ilvl w:val="0"/>
                  <w:numId w:val="10"/>
                </w:numPr>
              </w:pPr>
              <w:r>
                <w:t xml:space="preserve">Buildings used for residential and leisure purposes for less than four months per year</w:t>
              </w:r>
            </w:p>
            <w:p>
              <w:pPr>
                <w:pStyle w:val="BodyText"/>
              </w:pPr>
              <w:pPr>
                <w:pStyle w:val="ListParagraph"/>
                <w:numPr>
                  <w:ilvl w:val="0"/>
                  <w:numId w:val="10"/>
                </w:numPr>
              </w:pPr>
              <w:r>
                <w:t xml:space="preserve">Parade buildings, sheeting or tent structures intended for use for a maximum of two years</w:t>
              </w:r>
            </w:p>
            <w:p>
              <w:pPr>
                <w:pStyle w:val="BodyText"/>
              </w:pPr>
              <w:pPr>
                <w:pStyle w:val="ListParagraph"/>
                <w:numPr>
                  <w:ilvl w:val="0"/>
                  <w:numId w:val="10"/>
                </w:numPr>
              </w:pPr>
              <w:r>
                <w:t xml:space="preserve">Buildings used for religious purposes</w:t>
              </w:r>
            </w:p>
            <w:p>
              <w:pPr>
                <w:pStyle w:val="BodyText"/>
              </w:pPr>
              <w:pPr>
                <w:pStyle w:val="ListParagraph"/>
                <w:numPr>
                  <w:ilvl w:val="0"/>
                  <w:numId w:val="10"/>
                </w:numPr>
              </w:pPr>
              <w:r>
                <w:t xml:space="preserve">Low energy-demand agricultural, logistic and industrial buildings, and parts of buildings used for non-residential purposes in which the air temperature does not exceed 12 degrees Celsius during the operating time of the heating system, or is heated for less than four months and cooled for less than two months</w:t>
              </w:r>
            </w:p>
            <w:p>
              <w:pPr>
                <w:pStyle w:val="BodyText"/>
              </w:pPr>
              <w:pPr>
                <w:pStyle w:val="ListParagraph"/>
                <w:numPr>
                  <w:ilvl w:val="0"/>
                  <w:numId w:val="10"/>
                </w:numPr>
              </w:pPr>
              <w:r>
                <w:t xml:space="preserve">Workshops or buildings in an industrial area, where the internal heat gain from the technology is greater than 20 watts per square meter during the period of normal use, or where an air exchange of more than 20 times the normal air exchange is required or occurs during the heating season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