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Morocco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December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1"/>
                    </w:numPr>
                  </w:pPr>
                  <w:r>
                    <w:t xml:space="preserve">Land</w:t>
                  </w:r>
                </w:p>
                <w:p>
                  <w:pPr>
                    <w:pStyle w:val="BodyText"/>
                  </w:pPr>
                  <w:pPr>
                    <w:pStyle w:val="ListParagraph"/>
                    <w:numPr>
                      <w:ilvl w:val="0"/>
                      <w:numId w:val="21"/>
                    </w:numPr>
                  </w:pPr>
                  <w:r>
                    <w:t xml:space="preserve">Any buildings or structures on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Morocco, real estate transactions are mainly governed by the Moroccan Civil Code, or Dahir des Obligations et des Contracts (Obligations and Contracts Code) of 12 August 1913.</w:t>
                  </w:r>
                </w:p>
                <w:p>
                  <w:pPr>
                    <w:pStyle w:val="BodyText"/>
                  </w:pPr>
                  <w:r>
                    <w:t xml:space="preserve">Relevant legislation also includes the following:</w:t>
                  </w:r>
                </w:p>
                <w:p>
                  <w:pPr>
                    <w:pStyle w:val="BodyText"/>
                  </w:pPr>
                  <w:pPr>
                    <w:pStyle w:val="ListParagraph"/>
                    <w:numPr>
                      <w:ilvl w:val="0"/>
                      <w:numId w:val="20"/>
                    </w:numPr>
                  </w:pPr>
                  <w:r>
                    <w:t xml:space="preserve">Law No. 39-08 dated 22 November 2011 forming the Real Property Code (Code des Droits Réels)</w:t>
                  </w:r>
                </w:p>
                <w:p>
                  <w:pPr>
                    <w:pStyle w:val="BodyText"/>
                  </w:pPr>
                  <w:pPr>
                    <w:pStyle w:val="ListParagraph"/>
                    <w:numPr>
                      <w:ilvl w:val="0"/>
                      <w:numId w:val="20"/>
                    </w:numPr>
                  </w:pPr>
                  <w:r>
                    <w:t xml:space="preserve">Law No. 14-07 dated 22 November 2011 amending and supplementing the Dahir of 12 August 1913 on land titling</w:t>
                  </w:r>
                </w:p>
                <w:p>
                  <w:pPr>
                    <w:pStyle w:val="BodyText"/>
                  </w:pPr>
                  <w:pPr>
                    <w:pStyle w:val="ListParagraph"/>
                    <w:numPr>
                      <w:ilvl w:val="0"/>
                      <w:numId w:val="20"/>
                    </w:numPr>
                  </w:pPr>
                  <w:r>
                    <w:t xml:space="preserve">Law No. 107-12 dated 3 February 2016 amending Law No. 44-00 on off-plan sales</w:t>
                  </w:r>
                </w:p>
                <w:p>
                  <w:pPr>
                    <w:pStyle w:val="BodyText"/>
                  </w:pPr>
                  <w:pPr>
                    <w:pStyle w:val="ListParagraph"/>
                    <w:numPr>
                      <w:ilvl w:val="0"/>
                      <w:numId w:val="20"/>
                    </w:numPr>
                  </w:pPr>
                  <w:r>
                    <w:t xml:space="preserve">Law No. 18-00 dated 3 October 2002 regulating the co-ownership rules applicable to erected buildings, as amended by Law No. 106-12</w:t>
                  </w:r>
                </w:p>
                <w:p>
                  <w:pPr>
                    <w:pStyle w:val="BodyText"/>
                  </w:pPr>
                  <w:pPr>
                    <w:pStyle w:val="ListParagraph"/>
                    <w:numPr>
                      <w:ilvl w:val="0"/>
                      <w:numId w:val="20"/>
                    </w:numPr>
                  </w:pPr>
                  <w:r>
                    <w:t xml:space="preserve">Law No. 12-90 dated 17 June 1992 on urban planning, as amended by Law No. 66-12 dated 25 August 2016 on control and infringements in the field of town planning and construction</w:t>
                  </w:r>
                </w:p>
                <w:p>
                  <w:pPr>
                    <w:pStyle w:val="BodyText"/>
                  </w:pPr>
                  <w:pPr>
                    <w:pStyle w:val="ListParagraph"/>
                    <w:numPr>
                      <w:ilvl w:val="0"/>
                      <w:numId w:val="20"/>
                    </w:numPr>
                  </w:pPr>
                  <w:r>
                    <w:t xml:space="preserve">Law No. 67-12 dated 19 November 2013 governing contractual relations between landlords and tenants of premises for residential or professional use</w:t>
                  </w:r>
                </w:p>
                <w:p>
                  <w:pPr>
                    <w:pStyle w:val="BodyText"/>
                  </w:pPr>
                  <w:pPr>
                    <w:pStyle w:val="ListParagraph"/>
                    <w:numPr>
                      <w:ilvl w:val="0"/>
                      <w:numId w:val="20"/>
                    </w:numPr>
                  </w:pPr>
                  <w:r>
                    <w:t xml:space="preserve">Law No. 49-16 dated 18 July 2016 relating to the leases of buildings or premises rented for commercial, industrial, or artisanal use</w:t>
                  </w:r>
                </w:p>
                <w:p>
                  <w:pPr>
                    <w:pStyle w:val="BodyText"/>
                  </w:pPr>
                  <w:pPr>
                    <w:pStyle w:val="ListParagraph"/>
                    <w:numPr>
                      <w:ilvl w:val="0"/>
                      <w:numId w:val="20"/>
                    </w:numPr>
                  </w:pPr>
                  <w:r>
                    <w:t xml:space="preserve">Law No. 47-18 dated 21 February 2019 on regional investment centers</w:t>
                  </w:r>
                </w:p>
                <w:p>
                  <w:pPr>
                    <w:pStyle w:val="BodyText"/>
                  </w:pPr>
                  <w:pPr>
                    <w:pStyle w:val="ListParagraph"/>
                    <w:numPr>
                      <w:ilvl w:val="0"/>
                      <w:numId w:val="20"/>
                    </w:numPr>
                  </w:pPr>
                  <w:r>
                    <w:t xml:space="preserve">Law No. 102-21 dated 10 February 2023 on industrial areas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registration system allows the owner of a property to register their property title in the national real estate registry. This registration cancels all previous rights with respect to this property.</w:t>
                  </w:r>
                </w:p>
                <w:p>
                  <w:pPr>
                    <w:pStyle w:val="BodyText"/>
                  </w:pPr>
                  <w:r>
                    <w:t xml:space="preserve">The land registration system sets out publicly available information about real estate in Morocco. This aims to ensure complete transparency.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property and mortgage registrar is in charge of the registration of titles. Each court of first instance has its own land property and mortgage registrar. They are responsible for maintaining the registry of properties located within the district of the relevant court of first instance.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Morocco, registration of real property is optional. However, once registered, the rights over this property must be registered within the same registry. Consequently, owners must register rights of real property, including the following:</w:t>
                  </w:r>
                </w:p>
                <w:p>
                  <w:pPr>
                    <w:pStyle w:val="BodyText"/>
                  </w:pPr>
                  <w:pPr>
                    <w:pStyle w:val="ListParagraph"/>
                    <w:numPr>
                      <w:ilvl w:val="0"/>
                      <w:numId w:val="19"/>
                    </w:numPr>
                  </w:pPr>
                  <w:r>
                    <w:t xml:space="preserve">Temporary seizure</w:t>
                  </w:r>
                </w:p>
                <w:p>
                  <w:pPr>
                    <w:pStyle w:val="BodyText"/>
                  </w:pPr>
                  <w:pPr>
                    <w:pStyle w:val="ListParagraph"/>
                    <w:numPr>
                      <w:ilvl w:val="0"/>
                      <w:numId w:val="19"/>
                    </w:numPr>
                  </w:pPr>
                  <w:r>
                    <w:t xml:space="preserve">Mortgages</w:t>
                  </w:r>
                </w:p>
                <w:p>
                  <w:pPr>
                    <w:pStyle w:val="BodyText"/>
                  </w:pPr>
                  <w:pPr>
                    <w:pStyle w:val="ListParagraph"/>
                    <w:numPr>
                      <w:ilvl w:val="0"/>
                      <w:numId w:val="19"/>
                    </w:numPr>
                  </w:pPr>
                  <w:r>
                    <w:t xml:space="preserve">Transfers</w:t>
                  </w:r>
                </w:p>
                <w:p>
                  <w:pPr>
                    <w:pStyle w:val="BodyText"/>
                  </w:pPr>
                  <w:pPr>
                    <w:pStyle w:val="ListParagraph"/>
                    <w:numPr>
                      <w:ilvl w:val="0"/>
                      <w:numId w:val="19"/>
                    </w:numPr>
                  </w:pPr>
                  <w:r>
                    <w:t xml:space="preserve">Easements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Once all the formalities are completed, the land property registrar provides the owner with a property title. This document proves ownership of real property, guaranteed by the Moroccan Constitution.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property registrar provides a website that records information with respect to most property titles. However, this database is not available to the public (a username and a password are required). This database is available mainly to notaries, property surveyors and topographers.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restrictions on foreign ownership of Moroccan land, except in very specific cases. For example, if a foreign investor wishes to carry out a nonagricultural project on agricultural land (such as an industrial or logistics project), then a temporary and final certificate of nonagricultural purpose must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the government and other authorities, but appropriate compensation must be paid.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may be held by any of the following means:</w:t>
                  </w:r>
                </w:p>
                <w:p>
                  <w:pPr>
                    <w:pStyle w:val="BodyText"/>
                  </w:pPr>
                  <w:pPr>
                    <w:pStyle w:val="ListParagraph"/>
                    <w:numPr>
                      <w:ilvl w:val="0"/>
                      <w:numId w:val="18"/>
                    </w:numPr>
                  </w:pPr>
                  <w:r>
                    <w:t xml:space="preserve">Freehold, following a transfer of property (purchase, donation, or inheritance)</w:t>
                  </w:r>
                </w:p>
                <w:p>
                  <w:pPr>
                    <w:pStyle w:val="BodyText"/>
                  </w:pPr>
                  <w:pPr>
                    <w:pStyle w:val="ListParagraph"/>
                    <w:numPr>
                      <w:ilvl w:val="0"/>
                      <w:numId w:val="18"/>
                    </w:numPr>
                  </w:pPr>
                  <w:r>
                    <w:t xml:space="preserve">Leasehold</w:t>
                  </w:r>
                </w:p>
                <w:p>
                  <w:pPr>
                    <w:pStyle w:val="BodyText"/>
                  </w:pPr>
                  <w:pPr>
                    <w:pStyle w:val="ListParagraph"/>
                    <w:numPr>
                      <w:ilvl w:val="0"/>
                      <w:numId w:val="18"/>
                    </w:numPr>
                  </w:pPr>
                  <w:r>
                    <w:t xml:space="preserve">Individual ownership</w:t>
                  </w:r>
                </w:p>
                <w:p>
                  <w:pPr>
                    <w:pStyle w:val="BodyText"/>
                  </w:pPr>
                  <w:pPr>
                    <w:pStyle w:val="ListParagraph"/>
                    <w:numPr>
                      <w:ilvl w:val="0"/>
                      <w:numId w:val="18"/>
                    </w:numPr>
                  </w:pPr>
                  <w:r>
                    <w:t xml:space="preserve">Co-ownership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structures used in investing in real estate:</w:t>
                  </w:r>
                </w:p>
                <w:p>
                  <w:pPr>
                    <w:pStyle w:val="BodyText"/>
                  </w:pPr>
                  <w:pPr>
                    <w:pStyle w:val="ListParagraph"/>
                    <w:numPr>
                      <w:ilvl w:val="0"/>
                      <w:numId w:val="17"/>
                    </w:numPr>
                  </w:pPr>
                  <w:r>
                    <w:t xml:space="preserve">Corporations (including real estate investment companies), including simplified joint companies</w:t>
                  </w:r>
                </w:p>
                <w:p>
                  <w:pPr>
                    <w:pStyle w:val="BodyText"/>
                  </w:pPr>
                  <w:pPr>
                    <w:pStyle w:val="ListParagraph"/>
                    <w:numPr>
                      <w:ilvl w:val="0"/>
                      <w:numId w:val="17"/>
                    </w:numPr>
                  </w:pPr>
                  <w:r>
                    <w:t xml:space="preserve">Co-ownership</w:t>
                  </w:r>
                </w:p>
                <w:p>
                  <w:pPr>
                    <w:pStyle w:val="BodyText"/>
                  </w:pPr>
                  <w:pPr>
                    <w:pStyle w:val="ListParagraph"/>
                    <w:numPr>
                      <w:ilvl w:val="0"/>
                      <w:numId w:val="17"/>
                    </w:numPr>
                  </w:pPr>
                  <w:r>
                    <w:t xml:space="preserve">Real estate investment trusts (Organisme de Placement Collectif Immobilier) which may take the form of a corporation or a co-ownership</w:t>
                  </w:r>
                </w:p>
                <w:p>
                  <w:pPr>
                    <w:pStyle w:val="BodyText"/>
                  </w:pPr>
                  <w:pPr>
                    <w:pStyle w:val="ListParagraph"/>
                    <w:numPr>
                      <w:ilvl w:val="0"/>
                      <w:numId w:val="17"/>
                    </w:numPr>
                  </w:pPr>
                  <w:r>
                    <w:t xml:space="preserve">Partnership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Interest rates are generally either fixed for a specified period or are variable. The interest rate is based on a rate announced periodically by the central bank (Bank Al Maghrib).</w:t>
                  </w:r>
                </w:p>
                <w:p>
                  <w:pPr>
                    <w:pStyle w:val="BodyText"/>
                  </w:pPr>
                  <w:r>
                    <w:t xml:space="preserve">Lending institutions usually take a primary security in real property and related assets. The primary security usually includes a mortgage.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notary is in charge of drafting the documentation in real estate transactions. Each party may choose its own notary. Sometimes, the assistance of a lawyer is recommended.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freehold properties, government authorities can require the owner to clean up contamination even if the owner did not cause it.</w:t>
                  </w:r>
                </w:p>
                <w:p>
                  <w:pPr>
                    <w:pStyle w:val="BodyText"/>
                  </w:pPr>
                  <w:r>
                    <w:t xml:space="preserve">For leasehold properties, tenants are not usually held liable for environmental damage caused by a previous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can retain liabilities relating to the real estate even after they have disposed of it. The seller is liable for any contamination caused before, during or after their ownership and for any indebtedness secured by a mortgage placed by the seller on the real estate.</w:t>
                  </w:r>
                </w:p>
                <w:p>
                  <w:pPr>
                    <w:pStyle w:val="BodyText"/>
                  </w:pPr>
                  <w:r>
                    <w:t xml:space="preserve">For leasehold properties, the tenant is generally not held liable for a previous tenant's obligations.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documents are usually involved:</w:t>
                  </w:r>
                </w:p>
                <w:p>
                  <w:pPr>
                    <w:pStyle w:val="BodyText"/>
                  </w:pPr>
                  <w:pPr>
                    <w:pStyle w:val="ListParagraph"/>
                    <w:numPr>
                      <w:ilvl w:val="0"/>
                      <w:numId w:val="13"/>
                    </w:numPr>
                  </w:pPr>
                  <w:r>
                    <w:t xml:space="preserve">Bilateral promise</w:t>
                  </w:r>
                </w:p>
                <w:p>
                  <w:pPr>
                    <w:pStyle w:val="BodyText"/>
                  </w:pPr>
                  <w:pPr>
                    <w:pStyle w:val="ListParagraph"/>
                    <w:numPr>
                      <w:ilvl w:val="1"/>
                      <w:numId w:val="14"/>
                    </w:numPr>
                    <w:ind w:left="1560"/>
                  </w:pPr>
                  <w:r>
                    <w:t xml:space="preserve">The bilateral promise includes a detailed description of the real estate property, the sale price, the terms of payment, the delivery date and the property specifications comprising useful technical information about the property. The property specifications are executed by the parties and a certified true copy is issued to the purchaser. Although it is a binding agreement, it is merely a promise to sell/buy, and the completion of the transfer remains subject to various conditions precedent.</w:t>
                  </w:r>
                </w:p>
                <w:p>
                  <w:pPr>
                    <w:pStyle w:val="BodyText"/>
                  </w:pPr>
                  <w:pPr>
                    <w:pStyle w:val="ListParagraph"/>
                    <w:numPr>
                      <w:ilvl w:val="0"/>
                      <w:numId w:val="13"/>
                    </w:numPr>
                  </w:pPr>
                  <w:r>
                    <w:t xml:space="preserve">Final purchase agreement</w:t>
                  </w:r>
                </w:p>
                <w:p>
                  <w:pPr>
                    <w:pStyle w:val="BodyText"/>
                  </w:pPr>
                  <w:pPr>
                    <w:pStyle w:val="ListParagraph"/>
                    <w:numPr>
                      <w:ilvl w:val="1"/>
                      <w:numId w:val="15"/>
                    </w:numPr>
                    <w:ind w:left="1560"/>
                  </w:pPr>
                  <w:r>
                    <w:t xml:space="preserve">The main document in any real estate acquisition is normally the purchase agreement to be executed between the buyer and the seller.</w:t>
                  </w:r>
                </w:p>
                <w:p>
                  <w:pPr>
                    <w:pStyle w:val="BodyText"/>
                  </w:pPr>
                  <w:pPr>
                    <w:pStyle w:val="ListParagraph"/>
                    <w:numPr>
                      <w:ilvl w:val="1"/>
                      <w:numId w:val="15"/>
                    </w:numPr>
                    <w:ind w:left="1560"/>
                  </w:pPr>
                  <w:r>
                    <w:t xml:space="preserve">According to Moroccan law, this agreement should contain, in particular, the following: </w:t>
                  </w:r>
                </w:p>
                <w:p>
                  <w:pPr>
                    <w:pStyle w:val="BodyText"/>
                  </w:pPr>
                  <w:pPr>
                    <w:pStyle w:val="ListParagraph"/>
                    <w:numPr>
                      <w:ilvl w:val="2"/>
                      <w:numId w:val="16"/>
                    </w:numPr>
                    <w:ind w:left="2340"/>
                  </w:pPr>
                  <w:r>
                    <w:t xml:space="preserve">Information about the parties </w:t>
                  </w:r>
                </w:p>
                <w:p>
                  <w:pPr>
                    <w:pStyle w:val="BodyText"/>
                  </w:pPr>
                  <w:pPr>
                    <w:pStyle w:val="ListParagraph"/>
                    <w:numPr>
                      <w:ilvl w:val="2"/>
                      <w:numId w:val="16"/>
                    </w:numPr>
                    <w:ind w:left="2340"/>
                  </w:pPr>
                  <w:r>
                    <w:t xml:space="preserve">Information about the property title and all rights over the real property (real surety, easement, or lien) </w:t>
                  </w:r>
                </w:p>
                <w:p>
                  <w:pPr>
                    <w:pStyle w:val="BodyText"/>
                  </w:pPr>
                  <w:pPr>
                    <w:pStyle w:val="ListParagraph"/>
                    <w:numPr>
                      <w:ilvl w:val="2"/>
                      <w:numId w:val="16"/>
                    </w:numPr>
                    <w:ind w:left="2340"/>
                  </w:pPr>
                  <w:r>
                    <w:t xml:space="preserve">Description of the land</w:t>
                  </w:r>
                </w:p>
                <w:p>
                  <w:pPr>
                    <w:pStyle w:val="BodyText"/>
                  </w:pPr>
                  <w:pPr>
                    <w:pStyle w:val="ListParagraph"/>
                    <w:numPr>
                      <w:ilvl w:val="2"/>
                      <w:numId w:val="16"/>
                    </w:numPr>
                    <w:ind w:left="2340"/>
                  </w:pPr>
                  <w:r>
                    <w:t xml:space="preserve">Purchase price and the payment terms </w:t>
                  </w:r>
                </w:p>
                <w:p>
                  <w:pPr>
                    <w:pStyle w:val="BodyText"/>
                  </w:pPr>
                  <w:pPr>
                    <w:pStyle w:val="ListParagraph"/>
                    <w:numPr>
                      <w:ilvl w:val="2"/>
                      <w:numId w:val="16"/>
                    </w:numPr>
                    <w:ind w:left="2340"/>
                  </w:pPr>
                  <w:r>
                    <w:t xml:space="preserve">Date of delivery</w:t>
                  </w:r>
                </w:p>
                <w:p>
                  <w:pPr>
                    <w:pStyle w:val="BodyText"/>
                  </w:pPr>
                  <w:pPr>
                    <w:pStyle w:val="ListParagraph"/>
                    <w:numPr>
                      <w:ilvl w:val="1"/>
                      <w:numId w:val="15"/>
                    </w:numPr>
                    <w:ind w:left="1560"/>
                  </w:pPr>
                  <w:r>
                    <w:t xml:space="preserve">Several documents must be attached to this agreement. The list varies on a case-by-case basis but often includes a guarantee (if any), architectural maps and a certificate provided by an engineer.</w:t>
                  </w:r>
                </w:p>
                <w:p>
                  <w:pPr>
                    <w:pStyle w:val="BodyText"/>
                  </w:pPr>
                  <w:pPr>
                    <w:pStyle w:val="ListParagraph"/>
                    <w:numPr>
                      <w:ilvl w:val="1"/>
                      <w:numId w:val="15"/>
                    </w:numPr>
                    <w:ind w:left="1560"/>
                  </w:pPr>
                  <w:r>
                    <w:t xml:space="preserve">Before execution of the purchase agreement, the buyer may conduct due diligence. Due diligence may include title and zoning searches and a review of any leases and surveys of the property. An independent environmental assessment is recommended as well as an independent engineering review of the property, particularly for older buildings.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purchase agreement, the seller may provide representations and warranties.</w:t>
                  </w:r>
                </w:p>
                <w:p>
                  <w:pPr>
                    <w:pStyle w:val="BodyText"/>
                  </w:pPr>
                  <w:r>
                    <w:t xml:space="preserve">If the property has buildings that have been constructed recently, the buyer benefits from the decennial guarantee provided for by Moroccan law. This guarantee is provided by the constructor and not the seller. For a period of 10 years following the completion of the construction of the building, the decennial guarantee covers all damage, including the safety of the project and, more specifically, defects in materials used in construction, that could make the project unsuitable for use (roof defects, water leaks, wall and foundation structural defects,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legally bound as soon as they execute a promise of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Registration of a deed of transfer is typically seen as the event that marks the transfer of title from the seller to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common practice in Morocco that the buyer bears all the fees and costs in relation to the transfer. The buyer usually pays for the following:</w:t>
                  </w:r>
                </w:p>
                <w:p>
                  <w:pPr>
                    <w:pStyle w:val="BodyText"/>
                  </w:pPr>
                  <w:pPr>
                    <w:pStyle w:val="ListParagraph"/>
                    <w:numPr>
                      <w:ilvl w:val="0"/>
                      <w:numId w:val="11"/>
                    </w:numPr>
                  </w:pPr>
                  <w:r>
                    <w:t xml:space="preserve">Due diligence costs</w:t>
                  </w:r>
                </w:p>
                <w:p>
                  <w:pPr>
                    <w:pStyle w:val="BodyText"/>
                  </w:pPr>
                  <w:pPr>
                    <w:pStyle w:val="ListParagraph"/>
                    <w:numPr>
                      <w:ilvl w:val="0"/>
                      <w:numId w:val="11"/>
                    </w:numPr>
                  </w:pPr>
                  <w:r>
                    <w:t xml:space="preserve">Due diligence inquiries made to statutory and government bodies</w:t>
                  </w:r>
                </w:p>
                <w:p>
                  <w:pPr>
                    <w:pStyle w:val="BodyText"/>
                  </w:pPr>
                  <w:pPr>
                    <w:pStyle w:val="ListParagraph"/>
                    <w:numPr>
                      <w:ilvl w:val="0"/>
                      <w:numId w:val="11"/>
                    </w:numPr>
                  </w:pPr>
                  <w:r>
                    <w:t xml:space="preserve">Registration fees</w:t>
                  </w:r>
                </w:p>
                <w:p>
                  <w:pPr>
                    <w:pStyle w:val="BodyText"/>
                  </w:pPr>
                  <w:pPr>
                    <w:pStyle w:val="ListParagraph"/>
                    <w:numPr>
                      <w:ilvl w:val="0"/>
                      <w:numId w:val="11"/>
                    </w:numPr>
                  </w:pPr>
                  <w:r>
                    <w:t xml:space="preserve">Transfer taxes</w:t>
                  </w:r>
                </w:p>
                <w:p>
                  <w:pPr>
                    <w:pStyle w:val="BodyText"/>
                  </w:pPr>
                  <w:pPr>
                    <w:pStyle w:val="ListParagraph"/>
                    <w:numPr>
                      <w:ilvl w:val="0"/>
                      <w:numId w:val="11"/>
                    </w:numPr>
                  </w:pPr>
                  <w:r>
                    <w:t xml:space="preserve">Notary fees</w:t>
                  </w:r>
                </w:p>
                <w:p>
                  <w:pPr>
                    <w:pStyle w:val="BodyText"/>
                  </w:pPr>
                  <w:pPr>
                    <w:pStyle w:val="ListParagraph"/>
                    <w:numPr>
                      <w:ilvl w:val="0"/>
                      <w:numId w:val="11"/>
                    </w:numPr>
                  </w:pPr>
                  <w:r>
                    <w:t xml:space="preserve">Buyer's legal costs</w:t>
                  </w:r>
                </w:p>
                <w:p>
                  <w:pPr>
                    <w:pStyle w:val="BodyText"/>
                  </w:pPr>
                  <w:r>
                    <w:t xml:space="preserve">The seller usually pays for the following:</w:t>
                  </w:r>
                </w:p>
                <w:p>
                  <w:pPr>
                    <w:pStyle w:val="BodyText"/>
                  </w:pPr>
                  <w:pPr>
                    <w:pStyle w:val="ListParagraph"/>
                    <w:numPr>
                      <w:ilvl w:val="0"/>
                      <w:numId w:val="12"/>
                    </w:numPr>
                  </w:pPr>
                  <w:r>
                    <w:t xml:space="preserve">Seller's legal costs</w:t>
                  </w:r>
                </w:p>
                <w:p>
                  <w:pPr>
                    <w:pStyle w:val="BodyText"/>
                  </w:pPr>
                  <w:pPr>
                    <w:pStyle w:val="ListParagraph"/>
                    <w:numPr>
                      <w:ilvl w:val="0"/>
                      <w:numId w:val="12"/>
                    </w:numPr>
                  </w:pPr>
                  <w:r>
                    <w:t xml:space="preserve">Income tax on any profit made on the sale of the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Morocco, the main forms of leases are the following:</w:t>
                  </w:r>
                </w:p>
                <w:p>
                  <w:pPr>
                    <w:pStyle w:val="BodyText"/>
                  </w:pPr>
                  <w:pPr>
                    <w:pStyle w:val="ListParagraph"/>
                    <w:numPr>
                      <w:ilvl w:val="0"/>
                      <w:numId w:val="10"/>
                    </w:numPr>
                  </w:pPr>
                  <w:r>
                    <w:t xml:space="preserve">Commercial leases — These are required to run a business in Morocco and are governed by Dahir 1-16-99 dated 18 July 2016, promulgating Law No. 49-16.</w:t>
                  </w:r>
                </w:p>
                <w:p>
                  <w:pPr>
                    <w:pStyle w:val="BodyText"/>
                  </w:pPr>
                  <w:pPr>
                    <w:pStyle w:val="ListParagraph"/>
                    <w:numPr>
                      <w:ilvl w:val="0"/>
                      <w:numId w:val="10"/>
                    </w:numPr>
                  </w:pPr>
                  <w:r>
                    <w:t xml:space="preserve">All other leases — Residential leases, professional leases without any commercial purpose, etc. are governed by the Obligations and Contracts Code regulating the general rules of contract law dated 12 August 1913 (as amended from time to time) (except for specific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lease provisions are not regulated and are freely negotiable. According to Moroccan law, there is no requirement that a lease agreement must be in writing. Therefore, the lease agreement may be verbal.</w:t>
                  </w:r>
                </w:p>
                <w:p>
                  <w:pPr>
                    <w:pStyle w:val="BodyText"/>
                  </w:pPr>
                  <w:r>
                    <w:t xml:space="preserve">However, commercial leases are subject to specific regulations that prohibit certain provisions. For instance, the contract cannot remove the tenant's renewal right, the minimum termination notice period is six months and indexation of the rent is capped.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Morocco, the maximum term of a lease, including renewals, is 99 years. These leases are called emphyteutic leases and they are deemed to be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leases are for a five-year or a 10-year term, with an option to extend the term for another five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commercial leases, from the moment the tenant has occupied the premises for more than two years, the tenant is entitled to lease renewal, notwithstanding any agreement to the contrary. The landlord can refuse renewal only in very specific and limited cases. If the landlord refuses to renew outside these cases, compensation is payable to the tenant based on the value of its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may terminate the lease agreement at the end of the period agreed between the parties where the tenant breaches certain terms of the lease, such as unauthorized subletting or alterations.</w:t>
                  </w:r>
                </w:p>
                <w:p>
                  <w:pPr>
                    <w:pStyle w:val="BodyText"/>
                  </w:pPr>
                  <w:r>
                    <w:t xml:space="preserve">Where the lease contains a termination clause and the tenant has not paid rent for three months, Law No. 49-16 provides that the landlord is entitled to apply for a judicial termination of the lease. The landlord must serve notice on the tenant, giving it 15 days to settle the outstanding rent, before termination can take place.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rents must be paid in local currency.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 Rent is usually paid on a quarterly basis for commercial leases and monthly for residential leases, at the beginning of each quarter or month.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sometimes fixed for the initial term.</w:t>
                  </w:r>
                </w:p>
                <w:p>
                  <w:pPr>
                    <w:pStyle w:val="BodyText"/>
                  </w:pPr>
                  <w:r>
                    <w:t xml:space="preserve">However, the landlord or the tenant may request that the rent is fixed at the rental value at the end of each three-year period. This increase should not exceed 8% for residential premises and 10% for other premises (per three-year period). Commercial leases are often subject to indexation but still restricted by the 10% cap.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the landlord is responsible for major repairs (repair and maintenance of the structure of the property, insuring the property, etc.) whereas the tenant is responsible for minor repairs (keeping the property in good order, etc.).</w:t>
                  </w:r>
                </w:p>
                <w:p>
                  <w:pPr>
                    <w:pStyle w:val="BodyText"/>
                  </w:pPr>
                  <w:r>
                    <w:t xml:space="preserve">The landlord must ensure the tenant's peaceful enjoyment of the premises, and the tenant must comply with the intended use of the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Tenants are sometimes allowed to assign the lease or sublet the premises but always subject to the landlord's prior consent. The head tenant will remain liable for due performance of the subtenant or assignee.</w:t>
                  </w:r>
                </w:p>
                <w:p>
                  <w:pPr>
                    <w:pStyle w:val="BodyText"/>
                  </w:pPr>
                  <w:r>
                    <w:t xml:space="preserve">However, where the tenant wishes to sell the business operating in the premises, the tenant is entitled to assign the lease to the purchaser of its business. Any provision to the contrary is null and void.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premises are substantially damaged or destroyed by an act of God, the lease is often terminated, unless the premises can be repaired within a reasonable timeframe (usually less than six months).</w:t>
                  </w:r>
                </w:p>
                <w:p>
                  <w:pPr>
                    <w:pStyle w:val="BodyText"/>
                  </w:pPr>
                  <w:r>
                    <w:t xml:space="preserve">If the premises are damaged or destroyed due to causes attributed to the tenant, then the tenant may be liable for repairs or replacement.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Moroccan law does not provide any requirement about insuring the leased premises. However, the landlord often requires that tenants insure the premises against the most common risks.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Lease agreements survive and are binding upon the new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Lease agreements survive foreclosure of the leased premises.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development is regulated mainly by the land property and mortgage registrar and the competent court of first instance.</w:t>
                  </w:r>
                </w:p>
                <w:p>
                  <w:pPr>
                    <w:pStyle w:val="BodyText"/>
                  </w:pPr>
                  <w:r>
                    <w:t xml:space="preserve">Construction of new projects is subject to provincial and municipal approvals. Building permits are required before construction commences. A certificate of conformity, confirming that the building has been constructed in accordance with the building permit, is required before a nonresidential property can be occupied, leased, or sold.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No. 11-03, adopted by Dahir No. 1-03-59 dated 12 May 2003 on environmental protection, provides for environmental requirements with respect to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building permit is required for the construction or renovation of real property.</w:t>
                  </w:r>
                </w:p>
                <w:p>
                  <w:pPr>
                    <w:pStyle w:val="BodyText"/>
                  </w:pPr>
                  <w:r>
                    <w:t xml:space="preserve">At the end of the work, the owner must obtain a certificate of compliance.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is the case when authorities seek to reduce or mitigate potential dangers to human health or the environment.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No. 47-09 on energy performance in Morocco provides for specific requirements applicable to buildings. However, the decree related to this law has not been published yet. The application of Law No. 47-09 will thus be delayed.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No.</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