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Switzerland</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requirements to obtain a license depend on the particular type of activity. FINMA publishes </w:t>
              </w:r>
              <w:hyperlink w:history="true" r:id="R8e5c9875ed9f4eb7">
                <w:r>
                  <w:rPr>
                    <w:rStyle w:val="Hyperlink"/>
                  </w:rPr>
                  <w:t xml:space="preserve">detailed guidelines</w:t>
                </w:r>
              </w:hyperlink>
              <w:r>
                <w:t xml:space="preserve"> regarding the information and documents required for all types of licenses (partially available in English). In general, the following criteria are examined by FINMA:</w:t>
              </w:r>
            </w:p>
            <w:p>
              <w:pPr>
                <w:pStyle w:val="BodyText"/>
              </w:pPr>
              <w:pPr>
                <w:pStyle w:val="ListParagraph"/>
                <w:numPr>
                  <w:ilvl w:val="0"/>
                  <w:numId w:val="9"/>
                </w:numPr>
              </w:pPr>
              <w:r>
                <w:rPr>
                  <w:b/>
                  <w:color w:val="000000"/>
                </w:rPr>
                <w:t xml:space="preserve">Capital adequacy </w:t>
              </w:r>
              <w:r>
                <w:rPr>
                  <w:color w:val="000000"/>
                </w:rPr>
                <w:t xml:space="preserve">– In particular, banks, securities dealers, and insurers are subject to minimum capital requirements. The business plan is examined as a part of the licensing process in order to ensure that capital adequacy can be maintained.</w:t>
              </w:r>
            </w:p>
            <w:p>
              <w:pPr>
                <w:pStyle w:val="BodyText"/>
              </w:pPr>
              <w:pPr>
                <w:pStyle w:val="ListParagraph"/>
                <w:numPr>
                  <w:ilvl w:val="0"/>
                  <w:numId w:val="9"/>
                </w:numPr>
              </w:pPr>
              <w:r>
                <w:rPr>
                  <w:b/>
                  <w:color w:val="000000"/>
                </w:rPr>
                <w:t xml:space="preserve">Proper business conduct </w:t>
              </w:r>
              <w:r>
                <w:rPr>
                  <w:color w:val="000000"/>
                </w:rPr>
                <w:t xml:space="preserve">– The management and the qualified participants/shareholders (being persons who directly or indirectly hold at least 10% of the capital or the voting rights) of the licensed entity must exhibit proper business conduct. This requirement gives FINMA rather broad discretion with respect to granting and revoking a license – as well as to impose other sanctions.</w:t>
              </w:r>
            </w:p>
            <w:p>
              <w:pPr>
                <w:pStyle w:val="BodyText"/>
              </w:pPr>
              <w:pPr>
                <w:pStyle w:val="ListParagraph"/>
                <w:numPr>
                  <w:ilvl w:val="0"/>
                  <w:numId w:val="9"/>
                </w:numPr>
              </w:pPr>
              <w:r>
                <w:rPr>
                  <w:b/>
                  <w:color w:val="000000"/>
                </w:rPr>
                <w:t xml:space="preserve">Organization</w:t>
              </w:r>
              <w:r>
                <w:rPr>
                  <w:color w:val="000000"/>
                </w:rPr>
                <w:t xml:space="preserve"> – Depending on the type of license sought, FINMA examines the organization of the management, the separation of internal functions, the effectiveness of the risk management, and the internal control system.</w:t>
              </w:r>
            </w:p>
            <w:p>
              <w:pPr>
                <w:pStyle w:val="BodyText"/>
              </w:pPr>
              <w:pPr>
                <w:pStyle w:val="ListParagraph"/>
                <w:numPr>
                  <w:ilvl w:val="0"/>
                  <w:numId w:val="9"/>
                </w:numPr>
              </w:pPr>
              <w:r>
                <w:rPr>
                  <w:b/>
                  <w:color w:val="000000"/>
                </w:rPr>
                <w:t xml:space="preserve">Location of offices and legal form</w:t>
              </w:r>
              <w:r>
                <w:rPr>
                  <w:color w:val="000000"/>
                </w:rPr>
                <w:t xml:space="preserve"> – Some licenses require a registered office (subsidiary or branch) and central management in Switzerland or a certain legal form (e.g., stock corporation).</w:t>
              </w:r>
            </w:p>
            <w:p>
              <w:pPr>
                <w:pStyle w:val="BodyText"/>
              </w:pPr>
              <w:pPr>
                <w:pStyle w:val="ListParagraph"/>
                <w:numPr>
                  <w:ilvl w:val="0"/>
                  <w:numId w:val="9"/>
                </w:numPr>
              </w:pPr>
              <w:r>
                <w:rPr>
                  <w:b/>
                  <w:color w:val="000000"/>
                </w:rPr>
                <w:t xml:space="preserve">Consolidated supervision</w:t>
              </w:r>
              <w:r>
                <w:rPr>
                  <w:color w:val="000000"/>
                </w:rPr>
                <w:t xml:space="preserve"> – If the entity is part of a financial group, it may be subject to the requirement of adequate consolidated supervision by a recognized supervisory authority.</w:t>
              </w:r>
            </w:p>
            <w:p>
              <w:pPr>
                <w:pStyle w:val="BodyText"/>
              </w:pPr>
              <w:pPr>
                <w:pStyle w:val="ListParagraph"/>
                <w:numPr>
                  <w:ilvl w:val="0"/>
                  <w:numId w:val="9"/>
                </w:numPr>
              </w:pPr>
              <w:r>
                <w:rPr>
                  <w:b/>
                  <w:color w:val="000000"/>
                </w:rPr>
                <w:t xml:space="preserve">Reciprocity</w:t>
              </w:r>
              <w:r>
                <w:rPr>
                  <w:color w:val="000000"/>
                </w:rPr>
                <w:t xml:space="preserve"> – Applicants under foreign control are in general only eligible for a license if the country where the qualified participants are domiciled guarantees reciprocal rights.</w:t>
              </w:r>
            </w:p>
            <w:p>
              <w:pPr>
                <w:pStyle w:val="BodyText"/>
              </w:pPr>
              <w:pPr>
                <w:pStyle w:val="ListParagraph"/>
                <w:numPr>
                  <w:ilvl w:val="0"/>
                  <w:numId w:val="9"/>
                </w:numPr>
              </w:pPr>
              <w:r>
                <w:rPr>
                  <w:b/>
                  <w:color w:val="000000"/>
                </w:rPr>
                <w:t xml:space="preserve">Appointment of supervisory auditor </w:t>
              </w:r>
              <w:r>
                <w:rPr>
                  <w:color w:val="000000"/>
                </w:rPr>
                <w:t xml:space="preserve">– A re</w:t>
              </w:r>
              <w:r>
                <w:t xml:space="preserve">gulatory audit firm (recognized by FINMA) that conducts the ongoing supervision of the entity is required for some types of licenses.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inma.ch/" TargetMode="External" Id="R8e5c9875ed9f4eb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