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Switzerland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Swiss Financial Market Authority (FINMA) is the main regulatory and supervisory authority in Switzerland. FINMA is a functionally and personally independent governmental institution with extensive regulatory competencies. It is mandated to supervise banks, insurance compa</w:t>
                  </w:r>
                  <w:r>
                    <w:t xml:space="preserve">nies, insurance intermediaries, trad</w:t>
                  </w:r>
                  <w:r>
                    <w:t xml:space="preserve">ing venues and facilities, securities dealers, collective investment schemes, fund management companies, asset managers for collective investment schemes and portfolio managers (so-called independent asset managers), trustees, and fintech innovators such license. In short, FINMA is responsible for microprudential supervision, that is, the firm-level and consolidated oversight of most financial firms.</w:t>
                  </w:r>
                </w:p>
                <w:p>
                  <w:pPr>
                    <w:pStyle w:val="BodyText"/>
                  </w:pPr>
                  <w:r>
                    <w:t xml:space="preserve">Additionally, FINMA supervises the anti-money-laundering (AML) compliance of institutions under its supervision. For unlicensed financial intermediaries, AML supervision is conducted by the so-called self-regulatory organizations (SROs). Moreover, from 1 January 2022, the ongoing business supervision of asset managers and trustees has been delegated to so-called supervisory organizations (SOs), which are founded at the private initiative of the asset management industry.</w:t>
                  </w:r>
                </w:p>
                <w:p>
                  <w:pPr>
                    <w:pStyle w:val="BodyText"/>
                  </w:pPr>
                  <w:r>
                    <w:t xml:space="preserve">The regulatory aims pursued by FINMA are the protection of creditors, investors, financial service customers and holders of insurance policies; safeguarding the proper functioning of financial markets; and financial stability. To achieve these aims, FINMA has a broad range of enforcement tools. It may issue declaratory rulings and prohibitions from practicing a profession, publish supervisory rulings (“naming and shaming”), confiscate profits, appoint an investigating agent, and revoke the respective license. However, unlike financial market authorities in other jurisdictions, FINMA is not authorized to impose substantial fines or other criminal sanctions.</w:t>
                  </w:r>
                </w:p>
                <w:p>
                  <w:pPr>
                    <w:pStyle w:val="BodyText"/>
                  </w:pPr>
                  <w:r>
                    <w:t xml:space="preserve">In addition to FINMA, the SROs and the SOs for portfolio managers and trustees, the Swiss National Bank (SNB) has specific regulatory competencies related to macroprudential supervision – that is, in respect of the stability of the whole financial system. For instance, the SNB is responsible for designating systemically important banks (SIBs), which means that these banks must meet additional regulatory criteria or recommend an increase of capital levels of certain banks (countercyclical capital buffer). Compared to FINMA, however, the regulatory competencies of the SNB can be considered rather narrow.</w:t>
                  </w:r>
                </w:p>
                <w:p>
                  <w:pPr>
                    <w:pStyle w:val="BodyText"/>
                  </w:pPr>
                  <w:r>
                    <w:t xml:space="preserve">FINMA may: (i) carry out a supervisory review itself; (ii) arrange for the review to be carried out by an audit agent appointed by FINMA; or (iii) arrange for the review to be carried out by an auditor appointed by the supervised financial firm. As a general rule, FINMA does not conduct supervisory activities itself but delegates these tasks to audit agents. The same applies to SOs. This leads to a high participation rate of audit firms in the supervisory process.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Swiss financial market architecture has recently undergone significant reforms. Traditionally, particular types of financial market activities (e.g., banking, stock exchanges) were regulated in separate federal acts. The reform project, which will be fully in force as of 1 January 2022, aims to regulate financial activities in four federal framework acts spanning different types of activities. As per 1 January 2024, this framework was amended by a new Insurance Supervision Law. This also has the effect that rights and duties in respect of particular types of financial activities are more intensely regulated on the ordinance level, that is, in regulations issued by the Swiss Federal Council (which is the Swiss federal executive government), FINMA or the SNB.</w:t>
                  </w:r>
                </w:p>
                <w:p>
                  <w:pPr>
                    <w:pStyle w:val="BodyText"/>
                  </w:pPr>
                  <w:r>
                    <w:t xml:space="preserve">The Swiss regulatory framework consists of the following acts:</w:t>
                  </w:r>
                </w:p>
                <w:p>
                  <w:pPr>
                    <w:pStyle w:val="BodyText"/>
                  </w:pPr>
                  <w:pPr>
                    <w:pStyle w:val="ListParagraph"/>
                    <w:numPr>
                      <w:ilvl w:val="0"/>
                      <w:numId w:val="16"/>
                    </w:numPr>
                  </w:pPr>
                  <w:r>
                    <w:t xml:space="preserve">Federal Act on the Financial Market Infrastructure and the Market Behaviour in Securities and Derivatives Trading (FMIA)</w:t>
                  </w:r>
                </w:p>
                <w:p>
                  <w:pPr>
                    <w:pStyle w:val="BodyText"/>
                  </w:pPr>
                  <w:pPr>
                    <w:pStyle w:val="ListParagraph"/>
                    <w:numPr>
                      <w:ilvl w:val="0"/>
                      <w:numId w:val="16"/>
                    </w:numPr>
                  </w:pPr>
                  <w:r>
                    <w:t xml:space="preserve">Federal Act on Financial Services (FinSA), which regulates the provision of financial services, in particular the behavior of organizations and client advisors</w:t>
                  </w:r>
                </w:p>
                <w:p>
                  <w:pPr>
                    <w:pStyle w:val="BodyText"/>
                  </w:pPr>
                  <w:pPr>
                    <w:pStyle w:val="ListParagraph"/>
                    <w:numPr>
                      <w:ilvl w:val="0"/>
                      <w:numId w:val="16"/>
                    </w:numPr>
                  </w:pPr>
                  <w:r>
                    <w:t xml:space="preserve">Federal Act on Financial Institutions (FinIA), which is mainly concerned with the supervision of previously unregulated portfolio managers and trusts</w:t>
                  </w:r>
                </w:p>
                <w:p>
                  <w:pPr>
                    <w:pStyle w:val="BodyText"/>
                  </w:pPr>
                  <w:pPr>
                    <w:pStyle w:val="ListParagraph"/>
                    <w:numPr>
                      <w:ilvl w:val="0"/>
                      <w:numId w:val="16"/>
                    </w:numPr>
                  </w:pPr>
                  <w:r>
                    <w:t xml:space="preserve">Federal Act on the Swiss Financial Market Supervisory Authority (FINMASA)</w:t>
                  </w:r>
                </w:p>
                <w:p>
                  <w:pPr>
                    <w:pStyle w:val="BodyText"/>
                  </w:pPr>
                  <w:pPr>
                    <w:pStyle w:val="ListParagraph"/>
                    <w:numPr>
                      <w:ilvl w:val="0"/>
                      <w:numId w:val="16"/>
                    </w:numPr>
                  </w:pPr>
                  <w:r>
                    <w:t xml:space="preserve">Federal Act on the Supervision of Insurance Companies (VAG) and the respective Insurance Supervision Ordinance (AVO), which entered into force on 1 January 2024.</w:t>
                  </w:r>
                </w:p>
                <w:p>
                  <w:pPr>
                    <w:pStyle w:val="BodyText"/>
                  </w:pPr>
                  <w:r>
                    <w:t xml:space="preserve">However, the business of banks is (and will continue to be) regulated by the Banking Act of 1934, as amended (BankA). The BankA remains in force after the reform of the mentioned Swiss financial market regime, subject to partial amendments. The same applies to the supervision of insurance (Insurance Supervision Act or ISA) and to collective investment schemes (Collective Investments Schemes Act or CISA).</w:t>
                  </w:r>
                </w:p>
                <w:p>
                  <w:pPr>
                    <w:pStyle w:val="BodyText"/>
                  </w:pPr>
                  <w:r>
                    <w:t xml:space="preserve">Furthermore, the Anti-Money Laundering Act (AMLA), that applies to all financial intermediaries and certain traders of goods (that accept substantial amounts of cash), as well as the National Bank Act (NBA) (which regulates the SNB) are significant legislative sources of the Swiss financial market regime.</w:t>
                  </w:r>
                </w:p>
                <w:p>
                  <w:pPr>
                    <w:pStyle w:val="BodyText"/>
                  </w:pPr>
                  <w:r>
                    <w:t xml:space="preserve">It is noteworthy that the newer Swiss financial market laws aim to achieve equivalence with EU regulations in order to (hopefully) ensure market access to the EU in the future. This particularly holds true with respect to Swiss investor protection rules, which are largely based on the respective EU regulations (MiFiD II and MiFIR).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Switzerland regulates a broad range of financial activities. As a basic principle, accepting and managing assets deposited by the public for commercial purposes requires a license issued by FINMA, and the acceptance of funds from the public other than in the context of a debenture issue or within certain narrowly defined exceptions set out in the Banking Ordinance is prohibited without the respective license. In particular, the following types of activities must be licensed by FINMA:</w:t>
                  </w:r>
                </w:p>
                <w:p>
                  <w:pPr>
                    <w:pStyle w:val="BodyText"/>
                  </w:pPr>
                  <w:pPr>
                    <w:pStyle w:val="ListParagraph"/>
                    <w:numPr>
                      <w:ilvl w:val="0"/>
                      <w:numId w:val="15"/>
                    </w:numPr>
                  </w:pPr>
                  <w:r>
                    <w:t xml:space="preserve">Banking – This is defined as the acceptance of deposits from the public.</w:t>
                  </w:r>
                </w:p>
                <w:p>
                  <w:pPr>
                    <w:pStyle w:val="BodyText"/>
                  </w:pPr>
                  <w:pPr>
                    <w:pStyle w:val="ListParagraph"/>
                    <w:numPr>
                      <w:ilvl w:val="0"/>
                      <w:numId w:val="15"/>
                    </w:numPr>
                  </w:pPr>
                  <w:r>
                    <w:t xml:space="preserve">Fintech license – This "banking license light" category is designed for innovative firms that intend to accept deposits from the public of up to CHF 100 million without conducting the traditional deposits and loans banking business.</w:t>
                  </w:r>
                </w:p>
                <w:p>
                  <w:pPr>
                    <w:pStyle w:val="BodyText"/>
                  </w:pPr>
                  <w:pPr>
                    <w:pStyle w:val="ListParagraph"/>
                    <w:numPr>
                      <w:ilvl w:val="0"/>
                      <w:numId w:val="15"/>
                    </w:numPr>
                  </w:pPr>
                  <w:r>
                    <w:t xml:space="preserve">Securities dealing – Various types of trading require licenses (regulated in the FinIA). </w:t>
                  </w:r>
                </w:p>
                <w:p>
                  <w:pPr>
                    <w:pStyle w:val="BodyText"/>
                  </w:pPr>
                  <w:pPr>
                    <w:pStyle w:val="ListParagraph"/>
                    <w:numPr>
                      <w:ilvl w:val="0"/>
                      <w:numId w:val="15"/>
                    </w:numPr>
                  </w:pPr>
                  <w:r>
                    <w:t xml:space="preserve">Portfolio management and the activities of trustees.</w:t>
                  </w:r>
                </w:p>
                <w:p>
                  <w:pPr>
                    <w:pStyle w:val="BodyText"/>
                  </w:pPr>
                  <w:pPr>
                    <w:pStyle w:val="ListParagraph"/>
                    <w:numPr>
                      <w:ilvl w:val="0"/>
                      <w:numId w:val="15"/>
                    </w:numPr>
                  </w:pPr>
                  <w:r>
                    <w:t xml:space="preserve">Operation of stock exchanges and similar trading facilities, such as multilateral trading facilities (MTFs), organized trading facilities (OTFs) and distributed ledger technology (DLT) trading facilities – Some activities, such as the operation of OTFs, may only be conducted by banks, securities dealers or other financial market participants supervised by FINMA.</w:t>
                  </w:r>
                </w:p>
                <w:p>
                  <w:pPr>
                    <w:pStyle w:val="BodyText"/>
                  </w:pPr>
                  <w:pPr>
                    <w:pStyle w:val="ListParagraph"/>
                    <w:numPr>
                      <w:ilvl w:val="0"/>
                      <w:numId w:val="15"/>
                    </w:numPr>
                  </w:pPr>
                  <w:r>
                    <w:t xml:space="preserve">Operation of financial market infrastructures: central counterparties (CCPs), central securities depositories (CSDs), trade repositories and payment systems – A payment system requires a license only if this is necessary to safeguard the proper functioning of the financial system or the protection of financial market participants. A bank is not required to obtain an additional license for the operation of payment systems.</w:t>
                  </w:r>
                </w:p>
                <w:p>
                  <w:pPr>
                    <w:pStyle w:val="BodyText"/>
                  </w:pPr>
                  <w:pPr>
                    <w:pStyle w:val="ListParagraph"/>
                    <w:numPr>
                      <w:ilvl w:val="0"/>
                      <w:numId w:val="15"/>
                    </w:numPr>
                  </w:pPr>
                  <w:r>
                    <w:t xml:space="preserve">Establishing, managing, safekeeping and distributing collective investment schemes (CIS) – The mere distribution of CIS to opt-out professional investors requires the appointment of a Swiss representative and a Swiss paying agent.</w:t>
                  </w:r>
                </w:p>
                <w:p>
                  <w:pPr>
                    <w:pStyle w:val="BodyText"/>
                  </w:pPr>
                  <w:pPr>
                    <w:pStyle w:val="ListParagraph"/>
                    <w:numPr>
                      <w:ilvl w:val="0"/>
                      <w:numId w:val="15"/>
                    </w:numPr>
                  </w:pPr>
                  <w:r>
                    <w:t xml:space="preserve">Offering and intermediating insurance – The licensing requirement applies both to direct insurance and reinsurance. Furthermore, with very few exceptions, insurance brokers are subject to registration with FINMA.</w:t>
                  </w:r>
                </w:p>
                <w:p>
                  <w:pPr>
                    <w:pStyle w:val="BodyText"/>
                  </w:pPr>
                  <w:pPr>
                    <w:pStyle w:val="ListParagraph"/>
                    <w:numPr>
                      <w:ilvl w:val="0"/>
                      <w:numId w:val="15"/>
                    </w:numPr>
                  </w:pPr>
                  <w:r>
                    <w:t xml:space="preserve">Issuing mortgage bonds (</w:t>
                  </w:r>
                  <w:r>
                    <w:rPr>
                      <w:i/>
                    </w:rPr>
                    <w:t xml:space="preserve">Pfandbriefe</w:t>
                  </w:r>
                  <w:r>
                    <w:t xml:space="preserve">) – Only two institutions are admitted as issuers of mortgage bonds in Switzerland.</w:t>
                  </w:r>
                </w:p>
                <w:p>
                  <w:pPr>
                    <w:pStyle w:val="BodyText"/>
                  </w:pPr>
                  <w:r>
                    <w:t xml:space="preserve">Other financial dealing/intermediation, such as issuing means of payment (including payment tokens/cryptocurrencies), precious metal and commodity dealing, leasing or factoring, is subject only to anti-money-laundering supervision under the AML Act.</w:t>
                  </w:r>
                </w:p>
                <w:p>
                  <w:pPr>
                    <w:pStyle w:val="BodyText"/>
                  </w:pPr>
                  <w:r>
                    <w:t xml:space="preserve">Registration with a designated registration body is required for customer advisors of financial service providers that are not subjected to prudential supervision in Switzerland, but no license is required. Furthermore, financial service providers are generally bound to join an Ombudsman, which is a conciliation board, if they provide financial services in Switzerland.</w:t>
                  </w:r>
                </w:p>
                <w:p>
                  <w:pPr>
                    <w:pStyle w:val="BodyText"/>
                  </w:pPr>
                  <w:r>
                    <w:t xml:space="preserve">As in the European Economic Area (EEA), the offering and admission to trading of financial instruments is generally subject to the duty to publish a prospectus which must be pre-approved by the review bodies, and in certain cases a key investor document (KID).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regulations applying to the provision of financial services and the offering of financial instruments set out in the FinSA and the licensing and supervision requirements for financial institutions set out in the FinIA must be distinguished.</w:t>
                  </w:r>
                </w:p>
                <w:p>
                  <w:pPr>
                    <w:pStyle w:val="BodyText"/>
                  </w:pPr>
                  <w:r>
                    <w:t xml:space="preserve">In principle, there are three constellations in which the FinSA is applicable:</w:t>
                  </w:r>
                </w:p>
                <w:p>
                  <w:pPr>
                    <w:pStyle w:val="BodyText"/>
                  </w:pPr>
                  <w:pPr>
                    <w:pStyle w:val="ListParagraph"/>
                    <w:numPr>
                      <w:ilvl w:val="0"/>
                      <w:numId w:val="12"/>
                    </w:numPr>
                  </w:pPr>
                  <w:r>
                    <w:t xml:space="preserve">A financial service provider in Switzerland provides a financial service for clients in Switzerland (domestic service).</w:t>
                  </w:r>
                </w:p>
                <w:p>
                  <w:pPr>
                    <w:pStyle w:val="BodyText"/>
                  </w:pPr>
                  <w:pPr>
                    <w:pStyle w:val="ListParagraph"/>
                    <w:numPr>
                      <w:ilvl w:val="0"/>
                      <w:numId w:val="12"/>
                    </w:numPr>
                  </w:pPr>
                  <w:r>
                    <w:t xml:space="preserve">A financial service provider abroad provides a financial service for clients in Switzerland (inbound service).</w:t>
                  </w:r>
                </w:p>
                <w:p>
                  <w:pPr>
                    <w:pStyle w:val="BodyText"/>
                  </w:pPr>
                  <w:pPr>
                    <w:pStyle w:val="ListParagraph"/>
                    <w:numPr>
                      <w:ilvl w:val="0"/>
                      <w:numId w:val="12"/>
                    </w:numPr>
                  </w:pPr>
                  <w:r>
                    <w:t xml:space="preserve">A financial service provider in Switzerland provides a financial service abroad (outbound service).</w:t>
                  </w:r>
                </w:p>
                <w:p>
                  <w:pPr>
                    <w:pStyle w:val="BodyText"/>
                  </w:pPr>
                  <w:r>
                    <w:t xml:space="preserve">Exceptions to the relatively broad scope of application are defined in the Financial Services Ordinance (FinSO). The scope of financial services provided in Switzerland does not include the following:</w:t>
                  </w:r>
                </w:p>
                <w:p>
                  <w:pPr>
                    <w:pStyle w:val="BodyText"/>
                  </w:pPr>
                  <w:pPr>
                    <w:pStyle w:val="ListParagraph"/>
                    <w:numPr>
                      <w:ilvl w:val="0"/>
                      <w:numId w:val="13"/>
                    </w:numPr>
                  </w:pPr>
                  <w:r>
                    <w:t xml:space="preserve">Financial services provided by foreign financial service providers within the scope of a client relationship that has been entered into on the express initiative of a client</w:t>
                  </w:r>
                </w:p>
                <w:p>
                  <w:pPr>
                    <w:pStyle w:val="BodyText"/>
                  </w:pPr>
                  <w:pPr>
                    <w:pStyle w:val="ListParagraph"/>
                    <w:numPr>
                      <w:ilvl w:val="0"/>
                      <w:numId w:val="13"/>
                    </w:numPr>
                  </w:pPr>
                  <w:r>
                    <w:t xml:space="preserve">Individual financial services requested by clients, on their express initiative, from a foreign financial services provider</w:t>
                  </w:r>
                </w:p>
                <w:p>
                  <w:pPr>
                    <w:pStyle w:val="BodyText"/>
                  </w:pPr>
                  <w:r>
                    <w:t xml:space="preserve">In addition, there is no offer of financial instruments within the meaning of the FinSA if the provision of information is made at the instigation of the client and is not preceded by advertising within the meaning of the FinSA by the provider or an agent of the provider in relation to the specific financial instrument.</w:t>
                  </w:r>
                </w:p>
                <w:p>
                  <w:pPr>
                    <w:pStyle w:val="BodyText"/>
                  </w:pPr>
                  <w:r>
                    <w:t xml:space="preserve">These exceptions refer to so-called reverse solicitation. In contrast to active solicitation, where a customer relationship is based on the initiative of the financial service provider, the regulation of the home country of a financial service provider should not apply if the customer relationship for individual financial services was initiated by reverse solicitation on the initiative of the customer.</w:t>
                  </w:r>
                </w:p>
                <w:p>
                  <w:pPr>
                    <w:pStyle w:val="BodyText"/>
                  </w:pPr>
                  <w:r>
                    <w:t xml:space="preserve">The law does not further specify the criteria for reverse solicitation. In our opinion, the following general criteria can be identified:</w:t>
                  </w:r>
                </w:p>
                <w:p>
                  <w:pPr>
                    <w:pStyle w:val="BodyText"/>
                  </w:pPr>
                  <w:pPr>
                    <w:pStyle w:val="ListParagraph"/>
                    <w:numPr>
                      <w:ilvl w:val="0"/>
                      <w:numId w:val="14"/>
                    </w:numPr>
                  </w:pPr>
                  <w:r>
                    <w:t xml:space="preserve">Reverse solicitation exists only if the initiative for a service or product comes exclusively from the customer. If the customer is personally made aware of or referred to the service or product in question by the service provider, reverse solicitation no longer exists.</w:t>
                  </w:r>
                </w:p>
                <w:p>
                  <w:pPr>
                    <w:pStyle w:val="BodyText"/>
                  </w:pPr>
                  <w:pPr>
                    <w:pStyle w:val="ListParagraph"/>
                    <w:numPr>
                      <w:ilvl w:val="0"/>
                      <w:numId w:val="14"/>
                    </w:numPr>
                  </w:pPr>
                  <w:r>
                    <w:t xml:space="preserve">Reverse solicitation must always concern a specific service, a specific product or a specific type of product that is being requested. General inquiries about the company or individuals are not likely to meet these requirements.</w:t>
                  </w:r>
                </w:p>
                <w:p>
                  <w:pPr>
                    <w:pStyle w:val="BodyText"/>
                  </w:pPr>
                  <w:pPr>
                    <w:pStyle w:val="ListParagraph"/>
                    <w:numPr>
                      <w:ilvl w:val="0"/>
                      <w:numId w:val="14"/>
                    </w:numPr>
                  </w:pPr>
                  <w:r>
                    <w:t xml:space="preserve">Reverse solicitation is an exception. Accordingly, the concept of reverse solicitation can never serve as a business model.</w:t>
                  </w:r>
                </w:p>
                <w:p>
                  <w:pPr>
                    <w:pStyle w:val="BodyText"/>
                  </w:pPr>
                  <w:pPr>
                    <w:pStyle w:val="ListParagraph"/>
                    <w:numPr>
                      <w:ilvl w:val="0"/>
                      <w:numId w:val="14"/>
                    </w:numPr>
                  </w:pPr>
                  <w:r>
                    <w:t xml:space="preserve">Because reverse solicitation is considered an exception that can significantly lower the level of customer protection, it is likely to be narrowly interpreted in legal practice in light of the purpose of the law. In particular, this concept will probably only ever cover those types of services that the customer has expressly requested. However, it is unlikely to be possible to offer an existing reverse solicitation customer new types of services under the guise of reverse solicitation that they did not originally request.</w:t>
                  </w:r>
                </w:p>
                <w:p>
                  <w:pPr>
                    <w:pStyle w:val="BodyText"/>
                  </w:pPr>
                  <w:r>
                    <w:t xml:space="preserve">In any event, a foreign financial services provider seeking to rely on reverse solicitation to avoid FinSA regulations should clearly document the customer's own initiative. Websites deserve special attention. In general, these must not be trimmed to cater to customers in Switzerland and should contain appropriate disclaimers and filters.</w:t>
                  </w:r>
                </w:p>
                <w:p>
                  <w:pPr>
                    <w:pStyle w:val="BodyText"/>
                  </w:pPr>
                  <w:r>
                    <w:t xml:space="preserve">As to the licensing and supervision requirements for financial institutions, these generally apply only if the financial institution is based in Switzerland or has a physical presence in Switzerland. Only if and once the service provider has an actual, permanent presence (a </w:t>
                  </w:r>
                  <w:r>
                    <w:rPr>
                      <w:i/>
                    </w:rPr>
                    <w:t xml:space="preserve">de facto </w:t>
                  </w:r>
                  <w:r>
                    <w:t xml:space="preserve">presence suffices) in Switzerland (i.e., representation, branch or subsidiary), it becomes subject to the respective licensing requirements. In this context, however, careful attention needs to be paid to the frequency and regularity of visits to Switzerland for professional purposes and business activities in Switzerland (to prevent FINMA from considering these visits and/or activities as amounting to a </w:t>
                  </w:r>
                  <w:r>
                    <w:t xml:space="preserve">de facto</w:t>
                  </w:r>
                  <w:r>
                    <w:t xml:space="preserve"> presence).</w:t>
                  </w:r>
                </w:p>
                <w:p>
                  <w:pPr>
                    <w:pStyle w:val="BodyText"/>
                  </w:pPr>
                  <w:r>
                    <w:t xml:space="preserve">In any case, the distribution of collective investment schemes to retail investors or the offering of insurance in Switzerland is subject to authorization by FINMA. The offering of such investment schemes to opt-out professional investors requires a Swiss representative and a Swiss paying agent. Furthermore, foreign stock exchanges without a registered office in Switzerland must be authorized by FINMA before they can allow Swiss securities dealers to access their facilities.</w:t>
                  </w:r>
                </w:p>
                <w:p>
                  <w:pPr>
                    <w:pStyle w:val="BodyText"/>
                  </w:pPr>
                  <w:r>
                    <w:t xml:space="preserve">Finally, the granting or brokerage of consumer loans to Swiss consumers on a cross-border basis requires approval from the relevant cantonal authorities under the Federal Act regarding Consumer Credits.</w:t>
                  </w:r>
                </w:p>
                <w:p>
                  <w:pPr>
                    <w:pStyle w:val="BodyText"/>
                  </w:pPr>
                  <w:r>
                    <w:t xml:space="preserve">The offering and intermediation of insurance contracts is subject to Swiss supervision if the policy holder or insured person is domiciled in Switzerland or the insured assets are located in Switzerland. Passporting rights apply between Switzerland and Liechtenstein based on a respective international treaty. An additional treaty was agreed but has not been ratified yet between Switzerland and the UK.</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requirements to obtain a license depend on the particular type of activity. FINMA publishes </w:t>
                  </w:r>
                  <w:hyperlink w:history="true" r:id="Rc1453c5cbb6a41cf">
                    <w:r>
                      <w:rPr>
                        <w:rStyle w:val="Hyperlink"/>
                      </w:rPr>
                      <w:t xml:space="preserve">detailed guidelines</w:t>
                    </w:r>
                  </w:hyperlink>
                  <w:r>
                    <w:t xml:space="preserve"> regarding the information and documents required for all types of licenses (partially available in English). In general, the following criteria are examined by FINMA:</w:t>
                  </w:r>
                </w:p>
                <w:p>
                  <w:pPr>
                    <w:pStyle w:val="BodyText"/>
                  </w:pPr>
                  <w:pPr>
                    <w:pStyle w:val="ListParagraph"/>
                    <w:numPr>
                      <w:ilvl w:val="0"/>
                      <w:numId w:val="11"/>
                    </w:numPr>
                  </w:pPr>
                  <w:r>
                    <w:rPr>
                      <w:b/>
                      <w:color w:val="000000"/>
                    </w:rPr>
                    <w:t xml:space="preserve">Capital adequacy </w:t>
                  </w:r>
                  <w:r>
                    <w:rPr>
                      <w:color w:val="000000"/>
                    </w:rPr>
                    <w:t xml:space="preserve">– In particular, banks, securities dealers, and insurers are subject to minimum capital requirements. The business plan is examined as a part of the licensing process in order to ensure that capital adequacy can be maintained.</w:t>
                  </w:r>
                </w:p>
                <w:p>
                  <w:pPr>
                    <w:pStyle w:val="BodyText"/>
                  </w:pPr>
                  <w:pPr>
                    <w:pStyle w:val="ListParagraph"/>
                    <w:numPr>
                      <w:ilvl w:val="0"/>
                      <w:numId w:val="11"/>
                    </w:numPr>
                  </w:pPr>
                  <w:r>
                    <w:rPr>
                      <w:b/>
                      <w:color w:val="000000"/>
                    </w:rPr>
                    <w:t xml:space="preserve">Proper business conduct </w:t>
                  </w:r>
                  <w:r>
                    <w:rPr>
                      <w:color w:val="000000"/>
                    </w:rPr>
                    <w:t xml:space="preserve">– The management and the qualified participants/shareholders (being persons who directly or indirectly hold at least 10% of the capital or the voting rights) of the licensed entity must exhibit proper business conduct. This requirement gives FINMA rather broad discretion with respect to granting and revoking a license – as well as to impose other sanctions.</w:t>
                  </w:r>
                </w:p>
                <w:p>
                  <w:pPr>
                    <w:pStyle w:val="BodyText"/>
                  </w:pPr>
                  <w:pPr>
                    <w:pStyle w:val="ListParagraph"/>
                    <w:numPr>
                      <w:ilvl w:val="0"/>
                      <w:numId w:val="11"/>
                    </w:numPr>
                  </w:pPr>
                  <w:r>
                    <w:rPr>
                      <w:b/>
                      <w:color w:val="000000"/>
                    </w:rPr>
                    <w:t xml:space="preserve">Organization</w:t>
                  </w:r>
                  <w:r>
                    <w:rPr>
                      <w:color w:val="000000"/>
                    </w:rPr>
                    <w:t xml:space="preserve"> – Depending on the type of license sought, FINMA examines the organization of the management, the separation of internal functions, the effectiveness of the risk management, and the internal control system.</w:t>
                  </w:r>
                </w:p>
                <w:p>
                  <w:pPr>
                    <w:pStyle w:val="BodyText"/>
                  </w:pPr>
                  <w:pPr>
                    <w:pStyle w:val="ListParagraph"/>
                    <w:numPr>
                      <w:ilvl w:val="0"/>
                      <w:numId w:val="11"/>
                    </w:numPr>
                  </w:pPr>
                  <w:r>
                    <w:rPr>
                      <w:b/>
                      <w:color w:val="000000"/>
                    </w:rPr>
                    <w:t xml:space="preserve">Location of offices and legal form</w:t>
                  </w:r>
                  <w:r>
                    <w:rPr>
                      <w:color w:val="000000"/>
                    </w:rPr>
                    <w:t xml:space="preserve"> – Some licenses require a registered office (subsidiary or branch) and central management in Switzerland or a certain legal form (e.g., stock corporation).</w:t>
                  </w:r>
                </w:p>
                <w:p>
                  <w:pPr>
                    <w:pStyle w:val="BodyText"/>
                  </w:pPr>
                  <w:pPr>
                    <w:pStyle w:val="ListParagraph"/>
                    <w:numPr>
                      <w:ilvl w:val="0"/>
                      <w:numId w:val="11"/>
                    </w:numPr>
                  </w:pPr>
                  <w:r>
                    <w:rPr>
                      <w:b/>
                      <w:color w:val="000000"/>
                    </w:rPr>
                    <w:t xml:space="preserve">Consolidated supervision</w:t>
                  </w:r>
                  <w:r>
                    <w:rPr>
                      <w:color w:val="000000"/>
                    </w:rPr>
                    <w:t xml:space="preserve"> – If the entity is part of a financial group, it may be subject to the requirement of adequate consolidated supervision by a recognized supervisory authority.</w:t>
                  </w:r>
                </w:p>
                <w:p>
                  <w:pPr>
                    <w:pStyle w:val="BodyText"/>
                  </w:pPr>
                  <w:pPr>
                    <w:pStyle w:val="ListParagraph"/>
                    <w:numPr>
                      <w:ilvl w:val="0"/>
                      <w:numId w:val="11"/>
                    </w:numPr>
                  </w:pPr>
                  <w:r>
                    <w:rPr>
                      <w:b/>
                      <w:color w:val="000000"/>
                    </w:rPr>
                    <w:t xml:space="preserve">Reciprocity</w:t>
                  </w:r>
                  <w:r>
                    <w:rPr>
                      <w:color w:val="000000"/>
                    </w:rPr>
                    <w:t xml:space="preserve"> – Applicants under foreign control are in general only eligible for a license if the country where the qualified participants are domiciled guarantees reciprocal rights.</w:t>
                  </w:r>
                </w:p>
                <w:p>
                  <w:pPr>
                    <w:pStyle w:val="BodyText"/>
                  </w:pPr>
                  <w:pPr>
                    <w:pStyle w:val="ListParagraph"/>
                    <w:numPr>
                      <w:ilvl w:val="0"/>
                      <w:numId w:val="11"/>
                    </w:numPr>
                  </w:pPr>
                  <w:r>
                    <w:rPr>
                      <w:b/>
                      <w:color w:val="000000"/>
                    </w:rPr>
                    <w:t xml:space="preserve">Appointment of supervisory auditor </w:t>
                  </w:r>
                  <w:r>
                    <w:rPr>
                      <w:color w:val="000000"/>
                    </w:rPr>
                    <w:t xml:space="preserve">– A re</w:t>
                  </w:r>
                  <w:r>
                    <w:t xml:space="preserve">gulatory audit firm (recognized by FINMA) that conducts the ongoing supervision of the entity is required for some types of licenses.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order to obtain a license from FINMA, the applicant is required to undergo and complete a formal process. This includes the submission of a detailed application showing that the license requirements are met and that they can be maintained. The documentation to be filed strongly depends on the type of license sought. Broadly, details on the following items must be provided:</w:t>
                  </w:r>
                </w:p>
                <w:p>
                  <w:pPr>
                    <w:pStyle w:val="BodyText"/>
                  </w:pPr>
                  <w:pPr>
                    <w:pStyle w:val="ListParagraph"/>
                    <w:numPr>
                      <w:ilvl w:val="0"/>
                      <w:numId w:val="10"/>
                    </w:numPr>
                  </w:pPr>
                  <w:r>
                    <w:rPr>
                      <w:b/>
                    </w:rPr>
                    <w:t xml:space="preserve">General data</w:t>
                  </w:r>
                  <w:r>
                    <w:t xml:space="preserve"> – Business model, financials, history of the parent entity, etc.</w:t>
                  </w:r>
                </w:p>
                <w:p>
                  <w:pPr>
                    <w:pStyle w:val="BodyText"/>
                  </w:pPr>
                  <w:pPr>
                    <w:pStyle w:val="ListParagraph"/>
                    <w:numPr>
                      <w:ilvl w:val="0"/>
                      <w:numId w:val="10"/>
                    </w:numPr>
                  </w:pPr>
                  <w:r>
                    <w:rPr>
                      <w:b/>
                    </w:rPr>
                    <w:t xml:space="preserve">Capitalization and shareholdings </w:t>
                  </w:r>
                  <w:r>
                    <w:t xml:space="preserve">– Information on the company capital and shareholders, particularly in respect to qualified participations/shareholders</w:t>
                  </w:r>
                </w:p>
                <w:p>
                  <w:pPr>
                    <w:pStyle w:val="BodyText"/>
                  </w:pPr>
                  <w:pPr>
                    <w:pStyle w:val="ListParagraph"/>
                    <w:numPr>
                      <w:ilvl w:val="0"/>
                      <w:numId w:val="10"/>
                    </w:numPr>
                  </w:pPr>
                  <w:r>
                    <w:rPr>
                      <w:b/>
                    </w:rPr>
                    <w:t xml:space="preserve">Management </w:t>
                  </w:r>
                  <w:r>
                    <w:t xml:space="preserve">– Organization and composition of management bodies and detailed information on the members of the governing bodies</w:t>
                  </w:r>
                </w:p>
                <w:p>
                  <w:pPr>
                    <w:pStyle w:val="BodyText"/>
                  </w:pPr>
                  <w:pPr>
                    <w:pStyle w:val="ListParagraph"/>
                    <w:numPr>
                      <w:ilvl w:val="0"/>
                      <w:numId w:val="10"/>
                    </w:numPr>
                  </w:pPr>
                  <w:r>
                    <w:rPr>
                      <w:b/>
                    </w:rPr>
                    <w:t xml:space="preserve">Activity and organization </w:t>
                  </w:r>
                  <w:r>
                    <w:t xml:space="preserve">– Details on the planned activities and internal processes</w:t>
                  </w:r>
                </w:p>
                <w:p>
                  <w:pPr>
                    <w:pStyle w:val="BodyText"/>
                  </w:pPr>
                  <w:pPr>
                    <w:pStyle w:val="ListParagraph"/>
                    <w:numPr>
                      <w:ilvl w:val="0"/>
                      <w:numId w:val="10"/>
                    </w:numPr>
                  </w:pPr>
                  <w:r>
                    <w:rPr>
                      <w:b/>
                    </w:rPr>
                    <w:t xml:space="preserve">Business plan</w:t>
                  </w:r>
                  <w:r>
                    <w:t xml:space="preserve"> – Detailed business plan including budget for the next fiscal years</w:t>
                  </w:r>
                </w:p>
                <w:p>
                  <w:pPr>
                    <w:pStyle w:val="BodyText"/>
                  </w:pPr>
                  <w:pPr>
                    <w:pStyle w:val="ListParagraph"/>
                    <w:numPr>
                      <w:ilvl w:val="0"/>
                      <w:numId w:val="10"/>
                    </w:numPr>
                  </w:pPr>
                  <w:r>
                    <w:rPr>
                      <w:b/>
                    </w:rPr>
                    <w:t xml:space="preserve">Audit firm </w:t>
                  </w:r>
                  <w:r>
                    <w:t xml:space="preserve">– Information regarding the supervisory auditor</w:t>
                  </w:r>
                </w:p>
                <w:p>
                  <w:pPr>
                    <w:pStyle w:val="BodyText"/>
                  </w:pPr>
                  <w:pPr>
                    <w:pStyle w:val="ListParagraph"/>
                    <w:numPr>
                      <w:ilvl w:val="0"/>
                      <w:numId w:val="10"/>
                    </w:numPr>
                  </w:pPr>
                  <w:r>
                    <w:rPr>
                      <w:b/>
                    </w:rPr>
                    <w:t xml:space="preserve">Proof of adequate consolidated supervision</w:t>
                  </w:r>
                  <w:r>
                    <w:t xml:space="preserve"> – If the applicant is part of a financial group, it must be demonstrated to FINMA that the group is subject to adequate consolidated supervision.</w:t>
                  </w:r>
                </w:p>
                <w:p>
                  <w:pPr>
                    <w:pStyle w:val="BodyText"/>
                  </w:pPr>
                  <w:r>
                    <w:t xml:space="preserve">The application must be filed in a Swiss official language (i.e., German, French or Italian). It is advantageous to establish informal contact with FINMA before the formal application is filed. The length of the application process greatly depends on the type of license sought and the quality and complexity of the application at hand. As a point of reference, FINMA indicates a period of approximately six months to obtain a bank or securities dealer license. For applications with cross-border elements, such as the establishment of branches of foreign firms, the response time of the respective foreign supervisory authorities must be taken into account.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Switzerland is not a member of the EU or the EEA, financial institutions based in Switzerland do not automatically have a “passport” to conduct activities in the EU. As there is presently no general cross-border exemption for Swiss-based firms, such firms are, in principle, required to follow the ordinary approval procedure for the establishment of a branch or subsidiary in the EU. Certain simplifications regarding access to the EEA particularly apply under the Alternative Investment Fund Managers Directive (AIFMD). However, automatic access is not guaranteed. Access of Swiss financial service providers to the EU/EEA in the future will, to a large extent, depend on whether Swiss financial regulation, as it is currently being reformed, will be regarded as equivalent to EU regulation.</w:t>
                  </w:r>
                </w:p>
                <w:p>
                  <w:pPr>
                    <w:pStyle w:val="BodyText"/>
                  </w:pPr>
                  <w:r>
                    <w:t xml:space="preserve">For the offering and intermediation of insurance contracts, passporting rights apply between Switzerland and Liechtenstein based on a respective international treaty. An additional treaty was agreed but has not been ratified yet between Switzerland and the UK.</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https://resourcehub.bakermckenzie.com/pl-pl/resources/global-financial-services-regulatory-guide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finma.ch/" TargetMode="External" Id="Rc1453c5cbb6a41c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