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Sweden</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Due diligence in Sweden is typically fairly narrowly scoped, with a focus mainly on identifying findings of some materiality. Due diligence reports are generally limited to material issues and practical matters that need to be handled in connection with the transaction, and are not very descriptive, unless requested by the buyer. Experienced buyers may request that the due diligence report also focus on matters of importance for the post-closing integration.</w:t>
              </w:r>
            </w:p>
            <w:p>
              <w:pPr>
                <w:pStyle w:val="BodyText"/>
              </w:pPr>
              <w:r>
                <w:t xml:space="preserve">The focus areas of the due diligence depend on the nature of the target's business. In recent years, trade compliance, privacy, anti-bribery, information security and related matters have risen in prominence due to an increased focus on compliance in general.</w:t>
              </w:r>
            </w:p>
            <w:p>
              <w:pPr>
                <w:pStyle w:val="BodyText"/>
              </w:pPr>
              <w:r>
                <w:rPr>
                  <w:b/>
                </w:rPr>
                <w:t xml:space="preserve">Pricing and payment</w:t>
              </w:r>
            </w:p>
            <w:p>
              <w:pPr>
                <w:pStyle w:val="BodyText"/>
              </w:pPr>
              <w:r>
                <w:t xml:space="preserve">No independent appraisal report to support the valuation of the target company is required in a share deal or asset deal. Buyers typically rely on their internal valuations.</w:t>
              </w:r>
            </w:p>
            <w:p>
              <w:pPr>
                <w:pStyle w:val="BodyText"/>
              </w:pPr>
              <w:r>
                <w:t xml:space="preserve">Wire transfers of funds are common and wire transfers through the SWIFT Code international system are also common.</w:t>
              </w:r>
            </w:p>
            <w:p>
              <w:pPr>
                <w:pStyle w:val="BodyText"/>
              </w:pPr>
              <w:r>
                <w:t xml:space="preserve">There are no foreign exchange control restrictions or other approvals required to transfer funds into Sweden.</w:t>
              </w:r>
            </w:p>
            <w:p>
              <w:pPr>
                <w:pStyle w:val="BodyText"/>
              </w:pPr>
              <w:r>
                <w:rPr>
                  <w:b/>
                </w:rPr>
                <w:t xml:space="preserve">Signing/closing</w:t>
              </w:r>
            </w:p>
            <w:p>
              <w:pPr>
                <w:pStyle w:val="BodyText"/>
              </w:pPr>
              <w:r>
                <w:rPr>
                  <w:i/>
                </w:rPr>
                <w:t xml:space="preserve">Share sale</w:t>
              </w:r>
            </w:p>
            <w:p>
              <w:pPr>
                <w:pStyle w:val="BodyText"/>
              </w:pPr>
              <w:r>
                <w:t xml:space="preserve">Whether signing and closing is simultaneous depends on whether there are conditions that must be satisfied, including regulatory approvals (e.g., merger control), divestments of certain parts of the target entity, third-party consents/waivers, drawdown of funds or the resolution of issues discovered during due diligence. Simultaneous signing/closing is common where there are no such conditions to consider.</w:t>
              </w:r>
            </w:p>
            <w:p>
              <w:pPr>
                <w:pStyle w:val="BodyText"/>
              </w:pPr>
              <w:r>
                <w:rPr>
                  <w:i/>
                </w:rPr>
                <w:t xml:space="preserve">Asset sale</w:t>
              </w:r>
            </w:p>
            <w:p>
              <w:pPr>
                <w:pStyle w:val="BodyText"/>
              </w:pPr>
              <w:r>
                <w:t xml:space="preserve">Simultaneous signing/closing is also common in asset sales where there are no conditions that will delay closing to take into account. However, the need to get counterparty consent to the transfer of contracts will, in most cases, occasion a bifurcated signing and closing.</w:t>
              </w:r>
            </w:p>
            <w:p>
              <w:pPr>
                <w:pStyle w:val="BodyText"/>
              </w:pPr>
              <w:r>
                <w:t xml:space="preserve">A local acquisition vehicle company may be set up in Sweden in a matter of days. Tax registration may take four to eight weeks, but the company may start operations as of filing the tax registration application. No general business licenses are required. In some cases, the company may require industry-specific permits and/or licenses.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Sweden does not (as of 1 October 2023) have a foreign investment screening procedure in place. However, a foreign investment screening procedure is expected to come into force on 1 December 2023. When the legislation (in draft as of 1 October 2023) comes into force, it will introduce a mandatory and suspensory foreign investment screening procedure, which means that transactions (including reorganizations) that meet the relevant criteria will need to be notified to the relevant authority and cleared before they can be completed. The foreign investment screening procedure will be broad and apply to a number of sectors and the law will therefore have a huge impact on transactions involving a business in Sweden.</w:t>
              </w:r>
            </w:p>
            <w:p>
              <w:pPr>
                <w:pStyle w:val="BodyText"/>
              </w:pPr>
              <w:r>
                <w:rPr>
                  <w:b/>
                </w:rPr>
                <w:t xml:space="preserve">Antitrust/merger control</w:t>
              </w:r>
            </w:p>
            <w:p>
              <w:pPr>
                <w:pStyle w:val="BodyText"/>
              </w:pPr>
              <w:r>
                <w:t xml:space="preserve">Sweden has a mandatory and suspensory merger control regime, which means that transactions that meet the relevant criteria need to be notified to the competition authority and cleared before they can be completed.</w:t>
              </w:r>
            </w:p>
            <w:p>
              <w:pPr>
                <w:pStyle w:val="BodyText"/>
              </w:pPr>
              <w:r>
                <w:t xml:space="preserve">It is also necessary to consider EU merger control rules. Mergers involving companies active in several member states and reaching certain turnover thresholds are examined at European level by the European Commission. This allows companies trading in different EU member states to obtain clearance for their mergers in one go. For further information, see the more detailed section on "Antitrust/merger control".</w:t>
              </w:r>
            </w:p>
            <w:p>
              <w:pPr>
                <w:pStyle w:val="BodyText"/>
              </w:pPr>
              <w:r>
                <w:rPr>
                  <w:b/>
                </w:rPr>
                <w:t xml:space="preserve">EU Foreign Subsidies Regulation</w:t>
              </w:r>
            </w:p>
            <w:p>
              <w:pPr>
                <w:pStyle w:val="BodyText"/>
              </w:pPr>
              <w:r>
                <w:t xml:space="preserve">As of 12 October 2023, the EU Foreign Subsidies Regulation (FSR) requires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w:t>
              </w:r>
            </w:p>
            <w:p>
              <w:pPr>
                <w:pStyle w:val="BodyText"/>
              </w:pPr>
              <w:r>
                <w:rPr>
                  <w:b/>
                </w:rPr>
                <w:t xml:space="preserve">Other regulatory or government approvals</w:t>
              </w:r>
            </w:p>
            <w:p>
              <w:pPr>
                <w:pStyle w:val="BodyText"/>
              </w:pPr>
              <w:r>
                <w:t xml:space="preserve">In general, the sale of shares or assets of a Swedish company does not require other regulatory or government approvals. In some, fairly rare, cases, the company may require industry-specific regulatory or government approvals.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In a share acquisition, the employment conditions of the employees of the target company remain unchanged as the employer remains the same. In share transfers, the target company is normally not obligated to consult with any union. However, if the seller is bound by a collective bargaining agreement (CBA), and the transaction would entail a substantial change to the seller's business, the seller may be obliged to consult any union whose members are affected by the pending transaction, and if the transaction would entail a substantial change to the seller's business, the seller would then be obliged to consult the unions with which it is bound by a CBA. Similarly, should the transaction entail a substantial change to the working or employment terms and conditions of any employees who are members of any of those unions, the relevant unions should also be consulted.</w:t>
              </w:r>
            </w:p>
            <w:p>
              <w:pPr>
                <w:pStyle w:val="BodyText"/>
              </w:pPr>
              <w:r>
                <w:rPr>
                  <w:b/>
                </w:rPr>
                <w:t xml:space="preserve">Asset sale</w:t>
              </w:r>
            </w:p>
            <w:p>
              <w:pPr>
                <w:pStyle w:val="BodyText"/>
              </w:pPr>
              <w:r>
                <w:t xml:space="preserve">In an asset transfer, Sweden has implemented EU Directive 2001/23 on the safeguarding of employees' rights in the event of transfers of undertakings, businesses or parts of undertakings or businesses. This means that on the transfer of an undertaking or a division of an undertaking, the employees are entitled to transfer to the buyer. The transferred employees have the right to transfer on unchanged terms and conditions of employment. The only change is that the buyer is the new employer under the contracts of employment.</w:t>
              </w:r>
            </w:p>
            <w:p>
              <w:pPr>
                <w:pStyle w:val="BodyText"/>
              </w:pPr>
              <w:r>
                <w:t xml:space="preserve">In Sweden, an employee may object to being transferred to a new employer. If an employee refuses to transfer, the employee will remain employed with the seller but may then be exposed to a potential redundancy scenario.</w:t>
              </w:r>
            </w:p>
            <w:p>
              <w:pPr>
                <w:pStyle w:val="BodyText"/>
              </w:pPr>
              <w:r>
                <w:t xml:space="preserve">If there is a CBA in place, the seller is obliged to consult with the relevant unions, or in the absence of any CBA, with any union that has members among the impacted staff, about the pending decision to transfer the business. The unions cannot veto the employer's decision, but are merely entitled to be consulted before the decision is made. If the consultation is not concluded properly, the employer will be liable for damages to the unions.</w:t>
              </w:r>
            </w:p>
            <w:p>
              <w:pPr>
                <w:pStyle w:val="BodyText"/>
              </w:pPr>
              <w:r>
                <w:t xml:space="preserve">If the buyer has no CBA, it will be bound by the CBA of the seller upon the transfer. This could be avoided if the seller terminates the CBA prior to the transfer. Some provisions of the CBA will remain for an interim period.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statutory corporate income tax rate in Sweden is 20.6%.</w:t>
              </w:r>
            </w:p>
            <w:p>
              <w:pPr>
                <w:pStyle w:val="BodyText"/>
              </w:pPr>
              <w:r>
                <w:t xml:space="preserve">No stamp tax or other similar taxes or charges are payable in connection with the execution, delivery, performance or enforcement of a share acquisition.</w:t>
              </w:r>
            </w:p>
            <w:p>
              <w:pPr>
                <w:pStyle w:val="BodyText"/>
              </w:pPr>
              <w:r>
                <w:t xml:space="preserve">Stamp duty is only payable on the transfer of real property if the real property is sold as an asset.</w:t>
              </w:r>
            </w:p>
            <w:p>
              <w:pPr>
                <w:pStyle w:val="BodyText"/>
              </w:pPr>
              <w:r>
                <w:t xml:space="preserve">Sweden levies withholding tax on dividends. The statutory withholding tax rate is 30% if the dividend is paid to recipients that are not subject to tax in Sweden.</w:t>
              </w:r>
            </w:p>
            <w:p>
              <w:pPr>
                <w:pStyle w:val="BodyText"/>
              </w:pPr>
              <w:r>
                <w:t xml:space="preserve">Dividends are, however, often exempt from Swedish withholding tax, or subject to a reduced rate of withholding tax, by virtue of applicable tax treaties and exempt by way of an available reclaim mechanism in several situations, for example, if the holding criteria in the Parent-Subsidiary Directive are met.</w:t>
              </w:r>
            </w:p>
            <w:p>
              <w:pPr>
                <w:pStyle w:val="BodyText"/>
              </w:pPr>
              <w:r>
                <w:t xml:space="preserve">No withholding tax is levied on interest payments and Sweden has no formal thin capitalization rules in place. Interest expenses relating to debts provided by other group companies may, however, only be deducted if certain criteria are met, e.g., the recipient of the interest is taxed at least 10% and the main reason for the debt is not for the group to receive a tax benefit. These rules are very complex and a proper debt analysis should be conducted before any debt pushdown or other intragroup lending. Interest income will be subject to corporate income tax at statutory rates.</w:t>
              </w:r>
            </w:p>
            <w:p>
              <w:pPr>
                <w:pStyle w:val="BodyText"/>
              </w:pPr>
              <w:r>
                <w:t xml:space="preserve">No withholding tax on royalties is applicable. However, unless exempt in accordance with a tax treaty or because of the EU Interest/Royalty Directive, foreign recipients of royalties paid by Swedish companies are deemed to have a permanent establishment in Sweden from which the royalty is considered to be paid. The royalty payments are taxed as income from the permanent establishment in Sweden.</w:t>
              </w:r>
            </w:p>
            <w:p>
              <w:pPr>
                <w:pStyle w:val="BodyText"/>
              </w:pPr>
              <w:r>
                <w:t xml:space="preserve">Foreign shareholders of Swedish companies are not subject to tax on capital gains in Sweden, unless the shares are allocated to a permanent establishment in Sweden. As a consequence of the Swedish participation exemption rules, capital gains from the sale of shares or partnership interests by Swedish companies are exempt from corporate income tax if the sold shares have been held for business reasons. Correspondingly, the acquisition cost is neither deductible nor depreciable. Non-listed shares/interests held as capital assets are always considered held for business reasons. Listed shares/interests held as capital assets are considered held for business reasons if the shares/interests have been held for at least 12 months and the holder controls at least 10% of the votes or holds the shares as a result of the business conducted by the holder or an affiliate of the holder. If shares are held in an EU company, the shareholding also qualifies as holding for business reasons if the holding is at least 10% and the shares are current assets, provided that certain conditions are met.</w:t>
              </w:r>
            </w:p>
            <w:p>
              <w:pPr>
                <w:pStyle w:val="BodyText"/>
              </w:pPr>
              <w:r>
                <w:t xml:space="preserve">Sweden has a tax consolidation regime in place. A Swedish parent company owning more than 90% of a subsidiary may give or take a group contribution to/from the subsidiary, provided that the ownership has existed during the entire fiscal year of both companies or since the subsidiary started its business, and provided that returns are submitted to the Tax Agency in the same submitting period. Consolidation is also allowed between two subsidiaries.</w:t>
              </w:r>
            </w:p>
            <w:p>
              <w:pPr>
                <w:pStyle w:val="BodyText"/>
              </w:pPr>
              <w:r>
                <w:t xml:space="preserve">Tax losses may be carried forward indefinitely. Tax losses carried forward may be transferred with the company, but following a change of control in a company (i.e., when the decisive influence over the company has changed), there may be restrictions on the right to deduct losses. These rules are complex and a proper analysis should be conducted before directly or indirectly acquiring a Swedish company with tax losses.</w:t>
              </w:r>
            </w:p>
            <w:p>
              <w:pPr>
                <w:pStyle w:val="BodyText"/>
              </w:pPr>
              <w:r>
                <w:t xml:space="preserve">As a member of the EU, Sweden has implemented the EU VAT directive. Value-added tax (VAT) is levied on the transfer of most goods and the provision of most services. The standard rate is 25%. A transfer of shares is VAT-exempt under the Swedish VAT Act. Sweden also has transfer of going concern (TOGC) rules in place with the effect that the transfer of a well separated business is out of scope of VAT provided that the recipient intends to continue the business and is able to recover VAT.</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 </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6f2c5baec14548e7">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6f2c5baec14548e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