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hyperlink w:history="true" r:id="R9a65feb47cb7486e">
                    <w:r>
                      <w:rPr>
                        <w:rStyle w:val="Hyperlink"/>
                        <w:vertAlign w:val="superscript"/>
                      </w:rPr>
                      <w:t xml:space="preserve">[1]</w:t>
                    </w:r>
                  </w:hyperlink>
                  <w:r>
                    <w:t xml:space="preserve"> / 5</w:t>
                  </w:r>
                  <w:hyperlink w:history="true" r:id="R186584996cb346d6">
                    <w:r>
                      <w:rPr>
                        <w:rStyle w:val="Hyperlink"/>
                        <w:vertAlign w:val="superscript"/>
                      </w:rPr>
                      <w:t xml:space="preserve">[2]</w:t>
                    </w:r>
                  </w:hyperlink>
                  <w:r>
                    <w:rPr>
                      <w:vertAlign w:val="superscript"/>
                    </w:rPr>
                    <w:t xml:space="preserve"> </w:t>
                  </w:r>
                  <w:r>
                    <w:t xml:space="preserve">/ 8</w:t>
                  </w:r>
                  <w:hyperlink w:history="true" r:id="R2cf55ee476c64627">
                    <w:r>
                      <w:rPr>
                        <w:rStyle w:val="Hyperlink"/>
                        <w:vertAlign w:val="superscript"/>
                      </w:rPr>
                      <w:t xml:space="preserve">[3]</w:t>
                    </w:r>
                  </w:hyperlink>
                </w:p>
                <w:p>
                  <w:pPr>
                    <w:pStyle w:val="BodyText"/>
                  </w:pPr>
                  <w:r>
                    <w:rPr>
                      <w:b/>
                    </w:rPr>
                    <w:t xml:space="preserve">Standard VAT / GST rate</w:t>
                  </w:r>
                </w:p>
                <w:p>
                  <w:pPr>
                    <w:pStyle w:val="BodyText"/>
                  </w:pPr>
                  <w:r>
                    <w:t xml:space="preserve">10</w:t>
                  </w:r>
                  <w:hyperlink w:history="true" r:id="Re8b59da1f1a14ec2">
                    <w:r>
                      <w:rPr>
                        <w:rStyle w:val="Hyperlink"/>
                        <w:vertAlign w:val="superscript"/>
                      </w:rPr>
                      <w:t xml:space="preserve">[4]</w:t>
                    </w:r>
                  </w:hyperlink>
                </w:p>
                <w:p>
                  <w:pPr>
                    <w:pStyle w:val="BodyText"/>
                  </w:pPr>
                  <w:r>
                    <w:rPr>
                      <w:b/>
                    </w:rPr>
                    <w:t xml:space="preserve">High VAT / GST rate</w:t>
                  </w:r>
                </w:p>
                <w:p>
                  <w:pPr>
                    <w:pStyle w:val="BodyText"/>
                  </w:pPr>
                  <w:r>
                    <w:t xml:space="preserve">Not applicable</w:t>
                  </w:r>
                </w:p>
                <w:p>
                  <w:pPr>
                    <w:pStyle w:val="BodyText"/>
                  </w:pPr>
                  <w:r>
                    <w:t xml:space="preserve">_______________ </w:t>
                  </w:r>
                </w:p>
                <w:p>
                  <w:pPr>
                    <w:pStyle w:val="BodyText"/>
                  </w:pPr>
                  <w:r>
                    <w:t xml:space="preserve"> </w:t>
                  </w:r>
                  <w:hyperlink w:history="true" r:id="R313dee9afcfe44dc">
                    <w:r>
                      <w:rPr>
                        <w:rStyle w:val="Hyperlink"/>
                      </w:rPr>
                      <w:t xml:space="preserve">[1]</w:t>
                    </w:r>
                  </w:hyperlink>
                  <w:r>
                    <w:t xml:space="preserve"> </w:t>
                  </w:r>
                  <w:r>
                    <w:t xml:space="preserve">Zero rated VAT applies to exported goods and services, international transport, and goods and services that are not subject to VAT according to Article 5 of the Law on Value Added Tax (as amended) when exported, with certain exceptions. VAT is not imposed on the types of goods and services listed in Article 5 of the Law on Value Added Tax (as amended)</w:t>
                  </w:r>
                </w:p>
                <w:p>
                  <w:pPr>
                    <w:pStyle w:val="BodyText"/>
                  </w:pPr>
                  <w:hyperlink w:history="true" r:id="R3f2a00a7ac164be0">
                    <w:r>
                      <w:rPr>
                        <w:rStyle w:val="Hyperlink"/>
                      </w:rPr>
                      <w:t xml:space="preserve">[2]</w:t>
                    </w:r>
                  </w:hyperlink>
                  <w:r>
                    <w:t xml:space="preserve"> </w:t>
                  </w:r>
                  <w:r>
                    <w:t xml:space="preserve">The VAT rate of 5% applies to the types of goods and services listed in Clause 2 of Article 8 of the Law on Value Added Tax (as amended).</w:t>
                  </w:r>
                </w:p>
                <w:p>
                  <w:pPr>
                    <w:pStyle w:val="BodyText"/>
                  </w:pPr>
                  <w:hyperlink w:history="true" r:id="Rca9eabd509c545af">
                    <w:r>
                      <w:rPr>
                        <w:rStyle w:val="Hyperlink"/>
                      </w:rPr>
                      <w:t xml:space="preserve">[3]</w:t>
                    </w:r>
                  </w:hyperlink>
                  <w:r>
                    <w:t xml:space="preserve"> </w:t>
                  </w:r>
                  <w:r>
                    <w:t xml:space="preserve">Until 30 June 2025, the VAT rate of goods and services currently subject to the VAT rate of 10% will be reduced to VAT rate of 8%. However, the VAT reduction will not apply to the following three groups:</w:t>
                  </w:r>
                </w:p>
                <w:p>
                  <w:pPr>
                    <w:pStyle w:val="BodyText"/>
                  </w:pPr>
                  <w:pPr>
                    <w:pStyle w:val="ListParagraph"/>
                    <w:numPr>
                      <w:ilvl w:val="0"/>
                      <w:numId w:val="10"/>
                    </w:numPr>
                  </w:pPr>
                  <w:r>
                    <w:t xml:space="preserve">Group 1: Telecommunications, financial activities, banking, securities, insurance, real estate business, metals and prefabricated products, mining products (excluding coal mining), coke coal, refined petroleum, chemical products.</w:t>
                  </w:r>
                </w:p>
                <w:p>
                  <w:pPr>
                    <w:pStyle w:val="BodyText"/>
                  </w:pPr>
                  <w:pPr>
                    <w:pStyle w:val="ListParagraph"/>
                    <w:numPr>
                      <w:ilvl w:val="0"/>
                      <w:numId w:val="10"/>
                    </w:numPr>
                  </w:pPr>
                  <w:r>
                    <w:t xml:space="preserve">Group 2: Goods and services subject to special consumption tax.</w:t>
                  </w:r>
                </w:p>
                <w:p>
                  <w:pPr>
                    <w:pStyle w:val="BodyText"/>
                  </w:pPr>
                  <w:pPr>
                    <w:pStyle w:val="ListParagraph"/>
                    <w:numPr>
                      <w:ilvl w:val="0"/>
                      <w:numId w:val="10"/>
                    </w:numPr>
                  </w:pPr>
                  <w:r>
                    <w:t xml:space="preserve">Group 3: Information technology under the information technology laws.</w:t>
                  </w:r>
                </w:p>
                <w:p>
                  <w:pPr>
                    <w:pStyle w:val="BodyText"/>
                  </w:pPr>
                  <w:hyperlink w:history="true" r:id="Rca5085227a444feb">
                    <w:r>
                      <w:rPr>
                        <w:rStyle w:val="Hyperlink"/>
                      </w:rPr>
                      <w:t xml:space="preserve">[4]</w:t>
                    </w:r>
                  </w:hyperlink>
                  <w:r>
                    <w:t xml:space="preserve"> The VAT rate of 10% applies to goods and services used for manufacturing, business, or consumption in Vietnam that are not exempted or subject to VAT at the rate of 0%, 5% or 8% (see footnote 3).</w:t>
                  </w:r>
                  <w:r>
                    <w:br/>
                  </w:r>
                </w:p>
                <w:p>
                  <w:pPr>
                    <w:pStyle w:val="BodyText"/>
                  </w:pPr>
                  <w:r>
                    <w:t xml:space="preserve"> </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9a65feb47cb7486e" /><Relationship Type="http://schemas.openxmlformats.org/officeDocument/2006/relationships/hyperlink" Target="https://resourcehub.bakermckenzie.com/en#ftn2" TargetMode="External" Id="R186584996cb346d6" /><Relationship Type="http://schemas.openxmlformats.org/officeDocument/2006/relationships/hyperlink" Target="https://resourcehub.bakermckenzie.com/enEditorPage.aspx?da=core&amp;amp;id=%7B3603CE76-0532-4EBF-A081-28DE7D51F05D%7D&amp;amp;ed=FIELD3503658&amp;amp;vs&amp;amp;la=en&amp;amp;fld=%7B61B355C7-4970-4B78-98CC-936E170256C2%7D&amp;amp;so&amp;amp;di=0&amp;amp;hdl=H3503664&amp;amp;mo&amp;amp;pe=0&amp;amp;fbd=1#ftn2" TargetMode="External" Id="R2cf55ee476c64627" /><Relationship Type="http://schemas.openxmlformats.org/officeDocument/2006/relationships/hyperlink" Target="https://resourcehub.bakermckenzie.com/en#ftn3" TargetMode="External" Id="Re8b59da1f1a14ec2" /><Relationship Type="http://schemas.openxmlformats.org/officeDocument/2006/relationships/hyperlink" Target="https://resourcehub.bakermckenzie.com/enEditorPage.aspx?da=core&amp;amp;id=%7B3603CE76-0532-4EBF-A081-28DE7D51F05D%7D&amp;amp;ed=FIELD3503658&amp;amp;vs&amp;amp;la=en&amp;amp;fld=%7B61B355C7-4970-4B78-98CC-936E170256C2%7D&amp;amp;so&amp;amp;di=0&amp;amp;hdl=H3503664&amp;amp;mo&amp;amp;pe=0&amp;amp;fbd=1#ftnref1" TargetMode="External" Id="R313dee9afcfe44dc" /><Relationship Type="http://schemas.openxmlformats.org/officeDocument/2006/relationships/hyperlink" Target="https://resourcehub.bakermckenzie.com/enEditorPage.aspx?da=core&amp;amp;id=%7B3603CE76-0532-4EBF-A081-28DE7D51F05D%7D&amp;amp;ed=FIELD3503658&amp;amp;vs&amp;amp;la=en&amp;amp;fld=%7B61B355C7-4970-4B78-98CC-936E170256C2%7D&amp;amp;so&amp;amp;di=0&amp;amp;hdl=H3503664&amp;amp;mo&amp;amp;pe=0&amp;amp;fbd=1#ftnref2" TargetMode="External" Id="R3f2a00a7ac164be0" /><Relationship Type="http://schemas.openxmlformats.org/officeDocument/2006/relationships/hyperlink" Target="https://resourcehub.bakermckenzie.com/enftnref3" TargetMode="External" Id="Rca9eabd509c545af" /><Relationship Type="http://schemas.openxmlformats.org/officeDocument/2006/relationships/hyperlink" Target="https://resourcehub.bakermckenzie.com/enftnref3" TargetMode="External" Id="Rca5085227a444fe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