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Privilege and Professional Secrecy Guide - Hong Kong</w:t>
      </w:r>
      <w:r w:rsidR="00480329"/>
    </w:p>
    <w:p w:rsidRPr="00BC7873" w:rsidR="00BC7873" w:rsidP="00D354EF" w:rsidRDefault="00051AB4" w14:paraId="2476CC56" w14:textId="2FB25FA9">
      <w:pPr>
        <w:pStyle w:val="Title"/>
      </w:pPr>
      <w:r w:rsidRPr="00BC7873">
        <w:t>08 - Recent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(if any) recent issues have arisen in relation to privilege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Although there have been cases in Hong Kong discussing legal professional privilege, these cases largely reinforce the principles that have been in place for the past 10 or so years. The most recent key case remains </w:t>
              </w:r>
              <w:r>
                <w:rPr>
                  <w:i/>
                </w:rPr>
                <w:t xml:space="preserve">Citic Pacific Limited v. Secretary for Justice &amp; Another</w:t>
              </w:r>
              <w:r>
                <w:t xml:space="preserve"> [2015] 4 HKLRD 20. As a result of the Court of Appeal's decision in this case, legal advice privilege in Hong Kong applies more widely to communications between employees of corporate clients and external lawyers, and its application is subject to the dominant purpose test of obtaining or seeking legal advice.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