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Belgium</w:t>
      </w:r>
      <w:r w:rsidR="00480329"/>
    </w:p>
    <w:p w:rsidRPr="00BC7873" w:rsidR="00BC7873" w:rsidP="00D354EF" w:rsidRDefault="00051AB4" w14:paraId="2476CC56" w14:textId="2FB25FA9">
      <w:pPr>
        <w:pStyle w:val="Title"/>
      </w:pPr>
      <w:r w:rsidRPr="00BC7873">
        <w:t>Overview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Overview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With about 65 public M&amp;A transactions since 2010, Belgium has had its fair share of public takeover activity. Roughly one-third of these public M&amp;A transactions can be qualified as mandatory takeover bids, while the other two-thirds were of a voluntary nature. In recent years, a number of takeover bids were made by existing (reference) shareholders in an effort to go private and delist the target company.</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