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Privilege and Professional Secrecy Guide - Belgium</w:t>
      </w:r>
      <w:r w:rsidR="00480329"/>
    </w:p>
    <w:p w:rsidRPr="00BC7873" w:rsidR="00BC7873" w:rsidP="00D354EF" w:rsidRDefault="00051AB4" w14:paraId="2476CC56" w14:textId="2FB25FA9">
      <w:pPr>
        <w:pStyle w:val="Title"/>
      </w:pPr>
      <w:r w:rsidRPr="00BC7873">
        <w:t>07 - Artificial intelligence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Does the law of privilege or professional secrecy protect inputs by lawyers into generative AI tools and the resulting outputs?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Inputs by lawyers into generative AI are not, per se, legally protected by the law of privilege or professional secrecy. It is and will therefore remain the lawyers' responsibility and liability to ensure that any privileged or secret information is preserved.</w:t>
              </w:r>
            </w:p>
            <w:p>
              <w:pPr>
                <w:pStyle w:val="BodyText"/>
              </w:pPr>
              <w:r>
                <w:t xml:space="preserve">Yet, it is established that the protection of privilege or professional secrecy is not guaranteed when a lawyer uses a generative AI tool, especially if the tool does not offer adequate safeguards, such as secure data storage, restricted access and clear limitations on data reuse.</w:t>
              </w:r>
            </w:p>
            <w:p>
              <w:pPr>
                <w:pStyle w:val="BodyText"/>
              </w:pPr>
              <w:r>
                <w:t xml:space="preserve">Therefore, the Belgian bar advises that lawyers must not input confidential client information into AI tools unless those tools have been thoroughly vetted for compliance with ethical and legal standards. If the processing of confidential elements is unavoidable, the lawyer must be transparent and obtain the client's explicit consent. Moreover, any client-related information should be anonymized to prevent identification, and lawyers should avoid entering any details that could directly or indirectly reveal the client's identity.</w:t>
              </w:r>
            </w:p>
            <w:p>
              <w:pPr>
                <w:pStyle w:val="BodyText"/>
              </w:pPr>
              <w:r>
                <w:t xml:space="preserve">Before using an AI tool, lawyers are also expected to carefully examine its terms of use. This includes understanding how the tool handles data transmission, storage and further processing; where the data operations are located; whether the system is open or closed; the platform's liability terms; and the intellectual property and licensing conditions. These factors are necessary in determining whether the tool can be used without breaching professional secrecy.</w:t>
              </w:r>
            </w:p>
            <w:p>
              <w:pPr>
                <w:pStyle w:val="BodyText"/>
              </w:pPr>
              <w:r>
                <w:t xml:space="preserve">The resulting outputs are also not, per se, legally protected. As a result, the same obligations as summarized above will apply. Of course, as soon as the lawyer uses the said resulting output in a communication to a client (or another lawyer), that communication will fall within — and benefit from — the law of privilege or professional secrecy.</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pPr>
        <w:pStyle w:val="Disclaimer"/>
      </w:pPr>
      <w:r>
        <w:t xml:space="preserve">© 2026 Baker McKenzie. All rights reserved.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https://resourcehub.bakermckenzie.com/en/resources/global-attorney-client-privilege-guide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