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 the world shifting toward sustainability, developers and building owners in Thailand have placed importance on the concept of green buildings and have increasingly adopted green building standards, resulting in many internationally renowned certifications becoming more common in Thailand. For example, the </w:t>
                  </w:r>
                  <w:r>
                    <w:t xml:space="preserve">Leadership in Energy and Environmental Design</w:t>
                  </w:r>
                  <w:r>
                    <w:t xml:space="preserve">, WELL, and Deutsche Gesellschaft für Nachhaltiges Bauen certification marks can be seen in commercial buildings, residential buildings, and government buildings. While these standards are not mandatory and are adopted voluntarily, every sector recognizes these certifications and is eager to get certified.</w:t>
                  </w:r>
                </w:p>
                <w:p>
                  <w:pPr>
                    <w:pStyle w:val="BodyText"/>
                  </w:pPr>
                  <w:r>
                    <w:rPr>
                      <w:b/>
                    </w:rPr>
                    <w:t xml:space="preserve">Thai’s Rating of Energy and Environmental Sustainability</w:t>
                  </w:r>
                </w:p>
                <w:p>
                  <w:pPr>
                    <w:pStyle w:val="BodyText"/>
                  </w:pPr>
                  <w:r>
                    <w:t xml:space="preserve">Since 2012, Thailand has had its own green building certification called Thai’s Rating of Energy and Environmental Sustainability</w:t>
                  </w:r>
                  <w:r>
                    <w:t xml:space="preserve"> </w:t>
                  </w:r>
                  <w:r>
                    <w:t xml:space="preserve">(TREES). This standard was developed by the Thai Green Building Institute (TGBI), an entity established by two professional associations of Thailand: the Engineering Institute of Thailand under Royal Patronage</w:t>
                  </w:r>
                  <w:r>
                    <w:t xml:space="preserve"> </w:t>
                  </w:r>
                  <w:r>
                    <w:t xml:space="preserve">and the Association of Siamese Architects under Royal Patronage. The TGBI aims for TREES to be the standard that is most suitable for Thailand by designing the certification assessment based on Thai context. For example, while the standards developed based on other countries’ contexts may only allow for a few parking spaces, TREES allows for more spaces as the majority of people in Thailand rely on private cars as their main mode of transportation since public transportation is not yet fully developed here.</w:t>
                  </w:r>
                </w:p>
                <w:p>
                  <w:pPr>
                    <w:pStyle w:val="BodyText"/>
                  </w:pPr>
                  <w:r>
                    <w:rPr>
                      <w:b/>
                    </w:rPr>
                    <w:t xml:space="preserve">The TREES standard</w:t>
                  </w:r>
                </w:p>
                <w:p>
                  <w:pPr>
                    <w:pStyle w:val="BodyText"/>
                  </w:pPr>
                  <w:r>
                    <w:t xml:space="preserve">The TREES standard may be granted to two types of buildings: (i) TREES-NC/CS (new construction and major renovation/core and shell building), and (ii) TREES-EB (existing building: operation and maintenance).</w:t>
                  </w:r>
                </w:p>
                <w:p>
                  <w:pPr>
                    <w:pStyle w:val="BodyText"/>
                  </w:pPr>
                  <w:r>
                    <w:t xml:space="preserve">To achieve TREES certification, a project will have to meet all the prerequisites first, and then the TGBI will award points by considering the factors below. The prerequisites are subfactors of some of the following factors:</w:t>
                  </w:r>
                </w:p>
                <w:p>
                  <w:pPr>
                    <w:pStyle w:val="BodyText"/>
                  </w:pPr>
                  <w:pPr>
                    <w:pStyle w:val="ListParagraph"/>
                    <w:numPr>
                      <w:ilvl w:val="0"/>
                      <w:numId w:val="11"/>
                    </w:numPr>
                  </w:pPr>
                  <w:r>
                    <w:t xml:space="preserve">Building management </w:t>
                  </w:r>
                </w:p>
                <w:p>
                  <w:pPr>
                    <w:pStyle w:val="BodyText"/>
                  </w:pPr>
                  <w:pPr>
                    <w:pStyle w:val="ListParagraph"/>
                    <w:numPr>
                      <w:ilvl w:val="0"/>
                      <w:numId w:val="11"/>
                    </w:numPr>
                  </w:pPr>
                  <w:r>
                    <w:t xml:space="preserve">Site and landscape</w:t>
                  </w:r>
                </w:p>
                <w:p>
                  <w:pPr>
                    <w:pStyle w:val="BodyText"/>
                  </w:pPr>
                  <w:pPr>
                    <w:pStyle w:val="ListParagraph"/>
                    <w:numPr>
                      <w:ilvl w:val="0"/>
                      <w:numId w:val="11"/>
                    </w:numPr>
                  </w:pPr>
                  <w:r>
                    <w:t xml:space="preserve">Water conservation</w:t>
                  </w:r>
                </w:p>
                <w:p>
                  <w:pPr>
                    <w:pStyle w:val="BodyText"/>
                  </w:pPr>
                  <w:pPr>
                    <w:pStyle w:val="ListParagraph"/>
                    <w:numPr>
                      <w:ilvl w:val="0"/>
                      <w:numId w:val="11"/>
                    </w:numPr>
                  </w:pPr>
                  <w:r>
                    <w:t xml:space="preserve">Energy and atmosphere</w:t>
                  </w:r>
                </w:p>
                <w:p>
                  <w:pPr>
                    <w:pStyle w:val="BodyText"/>
                  </w:pPr>
                  <w:pPr>
                    <w:pStyle w:val="ListParagraph"/>
                    <w:numPr>
                      <w:ilvl w:val="0"/>
                      <w:numId w:val="11"/>
                    </w:numPr>
                  </w:pPr>
                  <w:r>
                    <w:t xml:space="preserve">Materials and resources </w:t>
                  </w:r>
                </w:p>
                <w:p>
                  <w:pPr>
                    <w:pStyle w:val="BodyText"/>
                  </w:pPr>
                  <w:pPr>
                    <w:pStyle w:val="ListParagraph"/>
                    <w:numPr>
                      <w:ilvl w:val="0"/>
                      <w:numId w:val="11"/>
                    </w:numPr>
                  </w:pPr>
                  <w:r>
                    <w:t xml:space="preserve">Indoor environmental quality </w:t>
                  </w:r>
                </w:p>
                <w:p>
                  <w:pPr>
                    <w:pStyle w:val="BodyText"/>
                  </w:pPr>
                  <w:pPr>
                    <w:pStyle w:val="ListParagraph"/>
                    <w:numPr>
                      <w:ilvl w:val="0"/>
                      <w:numId w:val="11"/>
                    </w:numPr>
                  </w:pPr>
                  <w:r>
                    <w:t xml:space="preserve">Environmental protection </w:t>
                  </w:r>
                </w:p>
                <w:p>
                  <w:pPr>
                    <w:pStyle w:val="BodyText"/>
                  </w:pPr>
                  <w:pPr>
                    <w:pStyle w:val="ListParagraph"/>
                    <w:numPr>
                      <w:ilvl w:val="0"/>
                      <w:numId w:val="11"/>
                    </w:numPr>
                  </w:pPr>
                  <w:r>
                    <w:t xml:space="preserve">Green innovation</w:t>
                  </w:r>
                </w:p>
                <w:p>
                  <w:pPr>
                    <w:pStyle w:val="BodyText"/>
                  </w:pPr>
                  <w:r>
                    <w:t xml:space="preserve">The points that a project earns correspond to the level of TREES certification it will get. These levels are Certified, Silver, Gold, and Platinum.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Thailand has no mandatory form of energy performance certification. However, Thailand has a ministerial regulation regarding the energy-saving standard and determination of the buildings that must comply with the standard, B.E. 2563 (2020), issued under the </w:t>
                  </w:r>
                  <w:r>
                    <w:t xml:space="preserve">Energy Conservation Act, B.E. 2535 (1992). </w:t>
                  </w:r>
                  <w:r>
                    <w:t xml:space="preserve">It requires certain types of large-scale buildings to comply with the energy-saving standard</w:t>
                  </w:r>
                  <w:r>
                    <w:t xml:space="preserve">.</w:t>
                  </w:r>
                </w:p>
                <w:p>
                  <w:pPr>
                    <w:pStyle w:val="BodyText"/>
                  </w:pPr>
                  <w:r>
                    <w:rPr>
                      <w:b/>
                    </w:rPr>
                    <w:t xml:space="preserve">Ministerial regulation regarding the energy-saving standard and determination of the buildings that must comply with the standard, B.E. 2563 (2020)</w:t>
                  </w:r>
                </w:p>
                <w:p>
                  <w:pPr>
                    <w:pStyle w:val="BodyText"/>
                  </w:pPr>
                  <w:r>
                    <w:t xml:space="preserve">The ministerial regulation requires that the construction of certain buildings with a total area of 2,000 square meters or more, and the modification of those buildings that results in a renovated area of 2,000 square meters or more, be done in accordance with the energy-saving standard set out in the regulation. The regulation covers the following buildings:</w:t>
                  </w:r>
                </w:p>
                <w:p>
                  <w:pPr>
                    <w:pStyle w:val="BodyText"/>
                  </w:pPr>
                  <w:pPr>
                    <w:pStyle w:val="ListParagraph"/>
                    <w:numPr>
                      <w:ilvl w:val="0"/>
                      <w:numId w:val="10"/>
                    </w:numPr>
                  </w:pPr>
                  <w:r>
                    <w:t xml:space="preserve">Theaters under the building control laws</w:t>
                  </w:r>
                </w:p>
                <w:p>
                  <w:pPr>
                    <w:pStyle w:val="BodyText"/>
                  </w:pPr>
                  <w:pPr>
                    <w:pStyle w:val="ListParagraph"/>
                    <w:numPr>
                      <w:ilvl w:val="0"/>
                      <w:numId w:val="10"/>
                    </w:numPr>
                  </w:pPr>
                  <w:r>
                    <w:t xml:space="preserve">Hotels under the hotel laws</w:t>
                  </w:r>
                </w:p>
                <w:p>
                  <w:pPr>
                    <w:pStyle w:val="BodyText"/>
                  </w:pPr>
                  <w:pPr>
                    <w:pStyle w:val="ListParagraph"/>
                    <w:numPr>
                      <w:ilvl w:val="0"/>
                      <w:numId w:val="10"/>
                    </w:numPr>
                  </w:pPr>
                  <w:r>
                    <w:t xml:space="preserve">Entertainment places under entertainment place laws</w:t>
                  </w:r>
                </w:p>
                <w:p>
                  <w:pPr>
                    <w:pStyle w:val="BodyText"/>
                  </w:pPr>
                  <w:pPr>
                    <w:pStyle w:val="ListParagraph"/>
                    <w:numPr>
                      <w:ilvl w:val="0"/>
                      <w:numId w:val="10"/>
                    </w:numPr>
                  </w:pPr>
                  <w:r>
                    <w:t xml:space="preserve">Medical facilities under medical facility laws</w:t>
                  </w:r>
                </w:p>
                <w:p>
                  <w:pPr>
                    <w:pStyle w:val="BodyText"/>
                  </w:pPr>
                  <w:pPr>
                    <w:pStyle w:val="ListParagraph"/>
                    <w:numPr>
                      <w:ilvl w:val="0"/>
                      <w:numId w:val="10"/>
                    </w:numPr>
                  </w:pPr>
                  <w:r>
                    <w:t xml:space="preserve">Educational establishments under national education laws</w:t>
                  </w:r>
                </w:p>
                <w:p>
                  <w:pPr>
                    <w:pStyle w:val="BodyText"/>
                  </w:pPr>
                  <w:pPr>
                    <w:pStyle w:val="ListParagraph"/>
                    <w:numPr>
                      <w:ilvl w:val="0"/>
                      <w:numId w:val="10"/>
                    </w:numPr>
                  </w:pPr>
                  <w:r>
                    <w:t xml:space="preserve">Offices</w:t>
                  </w:r>
                </w:p>
                <w:p>
                  <w:pPr>
                    <w:pStyle w:val="BodyText"/>
                  </w:pPr>
                  <w:pPr>
                    <w:pStyle w:val="ListParagraph"/>
                    <w:numPr>
                      <w:ilvl w:val="0"/>
                      <w:numId w:val="10"/>
                    </w:numPr>
                  </w:pPr>
                  <w:r>
                    <w:t xml:space="preserve">Malls or department stores</w:t>
                  </w:r>
                </w:p>
                <w:p>
                  <w:pPr>
                    <w:pStyle w:val="BodyText"/>
                  </w:pPr>
                  <w:pPr>
                    <w:pStyle w:val="ListParagraph"/>
                    <w:numPr>
                      <w:ilvl w:val="0"/>
                      <w:numId w:val="10"/>
                    </w:numPr>
                  </w:pPr>
                  <w:r>
                    <w:t xml:space="preserve">Condominiums under condominium laws</w:t>
                  </w:r>
                </w:p>
                <w:p>
                  <w:pPr>
                    <w:pStyle w:val="BodyText"/>
                  </w:pPr>
                  <w:pPr>
                    <w:pStyle w:val="ListParagraph"/>
                    <w:numPr>
                      <w:ilvl w:val="0"/>
                      <w:numId w:val="10"/>
                    </w:numPr>
                  </w:pPr>
                  <w:r>
                    <w:t xml:space="preserve">Assembly buildings</w:t>
                  </w:r>
                </w:p>
                <w:p>
                  <w:pPr>
                    <w:pStyle w:val="BodyText"/>
                  </w:pPr>
                  <w:r>
                    <w:t xml:space="preserve">The energy-saving standard for buildings set out in the ministerial regulation concerns the facade system, lighting control system, air-conditioning system, and water heater system.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are no government-funded or sponsored schemes for improving the energy efficiency of existing buildings in Thailand. However, more private sector entities are encouraging the government to do so. Considering that this idea aligns with the nation’s target of reaching carbon neutrality in 2050 and net zero in 2065, it is certain that there will be initiatives regarding this in the near future.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Thailand has no national targets for carbon reduction from buildings specifically. However, from a policy perspective, the government emphasizes the importance of carbon reduction in every sector, including real estate, as part of its attempt to address climate change.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are no regulations requiring consumption of renewable sources in Thailand.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current Bangkok town planning regulation    sets restrictions on the floor area ratio (FAR) for different zones. For example, the commercial center zone has a 10:1 FAR. However, the law allows buildings with a green standard certification to have 5% to 20% more FAR depending on the certification level the buildings get. This encourages real estate developers to adopt the green building standard so that they can use the land more.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finance has recently been introduced in Thailand. More and more stakeholders have started looking into it with no doubt that it will play a significant role in the future as part of the nation’s sustainability efforts.</w:t>
                  </w:r>
                </w:p>
                <w:p>
                  <w:pPr>
                    <w:pStyle w:val="BodyText"/>
                  </w:pPr>
                  <w:r>
                    <w:t xml:space="preserve">From the financial market side, the Bank of Thailand regards green finance as a key tool for addressing environmental problems and promotes it as part of sustainable finance. Some commercial banks have launched green finance products in the market — for example, green bonds for afforestation projects, green finance for renewable energy projects and other environmental projects, and lower interest rates for home loans if solar panels are installed.</w:t>
                  </w:r>
                </w:p>
                <w:p>
                  <w:pPr>
                    <w:pStyle w:val="BodyText"/>
                  </w:pPr>
                  <w:r>
                    <w:t xml:space="preserve">From the capital market side, the Stock Exchange of Thailand (SET) encouraged all players to adopt green finance. Listed companies are required to disclose their ESG practices in Form 56-1 (One Report), and investors can access information about green investments through the SET’s website. In addition, the SET also provides services and information to support listed companies in achieving their sustainable goals.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legally possible for the regulator to mandate green initiatives through planning or zoning regimes. However, from a policy perspective, it is unlikely to do so as the Thai town planning law    is intended to focus on land utilization, construction, and development. If there were to be any green initiatives, it is more likely that they will be mandated through a new set of regulations.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Thailand, green leases are adopted voluntarily. There are no specific legal requirements or government policies for green leases or green lease provisions. It is a relatively new concept for the Thai market, but the public has become more aware of this concept over the past few years. The first green lease in Bangkok was signed in October 2023 for the lease of One Bangkok, a mixed-use project developed by Frasers Property Limited.</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