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India</w:t>
      </w:r>
      <w:r w:rsidR="00480329"/>
    </w:p>
    <w:p w:rsidRPr="00BC7873" w:rsidR="00BC7873" w:rsidP="00D354EF" w:rsidRDefault="00051AB4" w14:paraId="2476CC56" w14:textId="2FB25FA9">
      <w:pPr>
        <w:pStyle w:val="Title"/>
      </w:pPr>
      <w:r w:rsidRPr="00BC7873">
        <w:t>05 - Investigations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differences in how privilege operates in civil, criminal, regulatory or investigatory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Indian law, the concept of attorney-client privilege under the BSA may extend to civil, criminal, regulatory and investigatory contexts, though its application can depend on the specific facts and circumstances of each matter. Courts may assess the scope of privilege differently based on the nature of the proceeding and the type of communication involved.</w:t>
              </w:r>
            </w:p>
            <w:p>
              <w:pPr>
                <w:pStyle w:val="BodyText"/>
              </w:pPr>
              <w:r>
                <w:t xml:space="preserve">In civil and criminal proceedings, courts are generally required to respect privilege attached to confidential legal advice exchanged between a client and an advocate/attorney. Section 132 of the BSA protects communications made during the course of a professional engagement, and courts have recognized the sanctity of such privilege, particularly where legal advice is sought in good faith and not in furtherance of any illegal purposes. Privilege also extends to legal work product prepared in anticipation of litigation, as recognized in </w:t>
              </w:r>
              <w:r>
                <w:rPr>
                  <w:i/>
                </w:rPr>
                <w:t xml:space="preserve">Larsen &amp; Toubro Ltd. v. Prime Displays (P) Ltd. </w:t>
              </w:r>
              <w:r>
                <w:t xml:space="preserve">[2002].</w:t>
              </w:r>
            </w:p>
            <w:p>
              <w:pPr>
                <w:pStyle w:val="BodyText"/>
              </w:pPr>
              <w:r>
                <w:t xml:space="preserve">In regulatory or investigatory contexts, privilege may be more complex in practice. Regulatory authorities often expect full cooperation, including the sharing of internal documentation. While companies are generally encouraged to cooperate, they are still entitled to assert privilege over legal communications and work product. If law enforcement or regulatory agencies insist on disclosing privileged materials, companies should expressly inform them of the privileged nature of such content. If the privilege claim is contested, the appropriate remedy would lie before a court of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notes of interviews with employees and other documents produced during investigations be covered by privilege?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extent to which interview notes and other documents made/discovered during internal investigations are protected by legal privilege under Indian law depends on the purpose and structure of the investigation. While the jurisprudence in India remains relatively nascent in this area, courts have recognized, notably in </w:t>
              </w:r>
              <w:r>
                <w:rPr>
                  <w:i/>
                </w:rPr>
                <w:t xml:space="preserve">Larsen &amp; Toubro Ltd. v. Prime Displays (P) Ltd. </w:t>
              </w:r>
              <w:r>
                <w:t xml:space="preserve">[2002], that legal advice and work product prepared in anticipation of litigation may be privileged. However, under the Advocates Act, such protection will apply only if the investigation is conducted by and under the instructions of advocates/attorneys and clearly marked as privileged.</w:t>
              </w:r>
            </w:p>
            <w:p>
              <w:pPr>
                <w:pStyle w:val="BodyText"/>
              </w:pPr>
              <w:r>
                <w:t xml:space="preserve">However, a distinction should be made between factual transcripts or summaries, which may be treated as discoverable records, and counsel's impressions or legal analysis, which are more likely to be considered privileged work product.</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