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Privilege and Professional Secrecy Guide - India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Select a topic from the menu and explore the questions within.</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01 - Discovery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disclosure/discovery is required in litigation?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India, the framework for disclosure/discovery in litigation is primarily governed by the Code of Civil Procedure 1908 (CPC) and the Bharatiya Nagrik Suraksha Sanhita 2023 (BNSS) (erstwhile Criminal Procedure Code 1973). These are supplemented by the Bharatiya Sakshya Adhiniyam 2023 (BSA) (erstwhile Indian Evidence Act 1872), which recognizes attorney-client privilege and professional conduct norms under the Bar Council of India Rules, 1975 (BCI Rules) framed under the Advocates Act 1961 (Advocates Act).</w:t>
                  </w:r>
                </w:p>
                <w:p>
                  <w:pPr>
                    <w:pStyle w:val="BodyText"/>
                  </w:pPr>
                  <w:r>
                    <w:t xml:space="preserve">Under the CPC, civil courts are empowered (either on their own motion or upon application by a party) to order discovery, inspection, production, impounding or return of documents and other material objects that may be produced as evidence. Similarly, under the BNSS, the court or an officer in charge of a police station may issue a summons to produce documents or any other material in the possession or control of the person to whom the summons is issued. Under the CPC and BNSS, "court" generally refers to civil and criminal courts respectively (excluding tribunals or quasi-judicial bodies unless extended by statute). In contrast, the BSA defines "court" more broadly to include all judges, magistrates and persons (except arbitrators) legally authorized to take evidence, thereby extending certain powers to statutory tribunals and adjudicating bodies.</w:t>
                  </w:r>
                </w:p>
                <w:p>
                  <w:pPr>
                    <w:pStyle w:val="BodyText"/>
                  </w:pPr>
                  <w:r>
                    <w:t xml:space="preserve">Broad disclosure mechanisms are permitted under the above fora; however, privileged communications are generally protected under the BSA, particularly those between a client and their advocate/attorney made in the course of and for the purpose of legal advice. This privilege is not absolute and may not apply if the communication was made in furtherance of an illegal purpose or if the client waives the privilege, either expressly or by conduct.</w:t>
                  </w:r>
                </w:p>
                <w:p>
                  <w:pPr>
                    <w:pStyle w:val="BodyText"/>
                  </w:pPr>
                  <w:r>
                    <w:t xml:space="preserve">In situations where privilege is claimed over a document or communication, the court has discretion to inspect the material to determine the validity of the claim. Indian law does not provide a detailed, codified discovery process comparable to jurisdictions like the US; instead, disclosure is often driven by judicial orders or party applications, subject to relevance and evidentiary rules.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02 - Type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jurisdiction recognize the concept of privilege or another form of protection from disclosure of legal communications and documents prepared by or for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Attorney-client privilege is recognized under Indian law. It is primarily governed by the BSA, the Advocates Act and the BCI Rules, which set out the ethical duties of advocates, including the obligation to maintain client confidentiality. An "advocate" in this context refers to a person enrolled under the Advocates Act — functionally similar to an attorney, barrister or solicitor in other legal systems.</w:t>
                  </w:r>
                </w:p>
                <w:p>
                  <w:pPr>
                    <w:pStyle w:val="BodyText"/>
                  </w:pPr>
                  <w:r>
                    <w:t xml:space="preserve">Attorney-client privilege applies to exchanges between a client and their advocate/attorney that occur during the course of professional engagement and are intended for legal advice. It primarily covers communications related to the following:</w:t>
                  </w:r>
                </w:p>
                <w:p>
                  <w:pPr>
                    <w:pStyle w:val="BodyText"/>
                  </w:pPr>
                  <w:pPr>
                    <w:pStyle w:val="ListParagraph"/>
                    <w:numPr>
                      <w:ilvl w:val="0"/>
                      <w:numId w:val="10"/>
                    </w:numPr>
                  </w:pPr>
                  <w:r>
                    <w:t xml:space="preserve">Legal advice or consultation, whether oral or written;</w:t>
                  </w:r>
                </w:p>
                <w:p>
                  <w:pPr>
                    <w:pStyle w:val="BodyText"/>
                  </w:pPr>
                  <w:pPr>
                    <w:pStyle w:val="ListParagraph"/>
                    <w:numPr>
                      <w:ilvl w:val="0"/>
                      <w:numId w:val="10"/>
                    </w:numPr>
                  </w:pPr>
                  <w:r>
                    <w:t xml:space="preserve">Preparations made with a view to legal proceedings, including advice given in anticipation of disputes; and</w:t>
                  </w:r>
                </w:p>
                <w:p>
                  <w:pPr>
                    <w:pStyle w:val="BodyText"/>
                  </w:pPr>
                  <w:pPr>
                    <w:pStyle w:val="ListParagraph"/>
                    <w:numPr>
                      <w:ilvl w:val="0"/>
                      <w:numId w:val="10"/>
                    </w:numPr>
                  </w:pPr>
                  <w:r>
                    <w:t xml:space="preserve">Documents and materials created during representation, such as correspondence, case strategies, draft pleadings and related notes.</w:t>
                  </w:r>
                </w:p>
                <w:p>
                  <w:pPr>
                    <w:pStyle w:val="BodyText"/>
                  </w:pPr>
                  <w:r>
                    <w:t xml:space="preserve">In </w:t>
                  </w:r>
                  <w:r>
                    <w:rPr>
                      <w:i/>
                    </w:rPr>
                    <w:t xml:space="preserve">Larsen &amp; Toubro Ltd. v. Prime Displays (P) Ltd. </w:t>
                  </w:r>
                  <w:r>
                    <w:t xml:space="preserve">[2002], the Bombay High Court confirmed that legal advice and documents generated in anticipation of litigation are protected. Earlier, in </w:t>
                  </w:r>
                  <w:r>
                    <w:rPr>
                      <w:i/>
                    </w:rPr>
                    <w:t xml:space="preserve">Kalikumar Pal v. Rajkumar Pal </w:t>
                  </w:r>
                  <w:r>
                    <w:t xml:space="preserve">[1931], it was emphasized that the protection applies only to communications made under a formal professional relationship and in confidence. Building on these principles, the Supreme Court recently in </w:t>
                  </w:r>
                  <w:r>
                    <w:rPr>
                      <w:i/>
                    </w:rPr>
                    <w:t xml:space="preserve">Aswinkumar Govindbhai Prajapati v. State of Gujarat &amp; Anr</w:t>
                  </w:r>
                  <w:r>
                    <w:t xml:space="preserve"> [2025] reinforced that the legal profession is an essential part of the justice system, and that directly summoning lawyers, especially those only involved in an advisory capacity, risks compromising both professional privilege and the independence of legal counsel.</w:t>
                  </w:r>
                </w:p>
                <w:p>
                  <w:pPr>
                    <w:pStyle w:val="BodyText"/>
                  </w:pPr>
                  <w:r>
                    <w:t xml:space="preserve">However, this protection is not without limits, and it does not cover the following:</w:t>
                  </w:r>
                </w:p>
                <w:p>
                  <w:pPr>
                    <w:pStyle w:val="BodyText"/>
                  </w:pPr>
                  <w:pPr>
                    <w:pStyle w:val="ListParagraph"/>
                    <w:numPr>
                      <w:ilvl w:val="0"/>
                      <w:numId w:val="11"/>
                    </w:numPr>
                  </w:pPr>
                  <w:r>
                    <w:t xml:space="preserve">Conversations or documents shared before the advocate is formally engaged;</w:t>
                  </w:r>
                </w:p>
                <w:p>
                  <w:pPr>
                    <w:pStyle w:val="BodyText"/>
                  </w:pPr>
                  <w:pPr>
                    <w:pStyle w:val="ListParagraph"/>
                    <w:numPr>
                      <w:ilvl w:val="0"/>
                      <w:numId w:val="11"/>
                    </w:numPr>
                  </w:pPr>
                  <w:r>
                    <w:t xml:space="preserve">Situations where communication is for illegal purposes; and</w:t>
                  </w:r>
                </w:p>
                <w:p>
                  <w:pPr>
                    <w:pStyle w:val="BodyText"/>
                  </w:pPr>
                  <w:pPr>
                    <w:pStyle w:val="ListParagraph"/>
                    <w:numPr>
                      <w:ilvl w:val="0"/>
                      <w:numId w:val="11"/>
                    </w:numPr>
                  </w:pPr>
                  <w:r>
                    <w:t xml:space="preserve">Cases where the advocate/attorney becomes aware of criminal acts committed during the course of the engagement.</w:t>
                  </w:r>
                </w:p>
                <w:p>
                  <w:pPr>
                    <w:pStyle w:val="BodyText"/>
                  </w:pPr>
                  <w:r>
                    <w:t xml:space="preserve">Under the BSA, individuals generally cannot be forced to disclose confidential discussions with their legal adviser. However, an exception exists if the person becomes a witness in court and disclosure is necessary to clarify their testimony.</w:t>
                  </w:r>
                </w:p>
                <w:p>
                  <w:pPr>
                    <w:pStyle w:val="BodyText"/>
                  </w:pPr>
                  <w:r>
                    <w:t xml:space="preserve">The client holds the exclusive right to waive privilege. In corporate matters, this authority lies with the organization itself — not with individual employees. Typically, only those in official positions, such as board members and in-house legal counsel, are empowered to make this decision on the company's behalf.</w:t>
                  </w:r>
                </w:p>
                <w:p>
                  <w:pPr>
                    <w:pStyle w:val="BodyText"/>
                  </w:pPr>
                  <w:r>
                    <w:t xml:space="preserve">To maintain privilege, businesses often retain external legal counsel early and explicitly state that internal investigations are being conducted for the purpose of legal advice. This approach strengthens the argument that all resulting communications are legally protected.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03 - Scope of privilege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attorney-client communication only privileged as long as it remains in the lawyer's possession, or is a copy held by the client also protected?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Attorney-client privilege generally does not depend on who physically possesses the communication but rather on the nature and purpose of the communication itself. Privilege is attached to confidential communications between a client and an advocate/attorney made in the course of and for the purpose of seeking or providing legal advice. Accordingly, both the attorney's and the client's copies of such communications remain protected, provided privilege is not waived.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in-house lawyers treated in the same way as external lawyers for determining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the context of attorney-client privilege under Indian law, the status of in-house counsel, in contrast to external advocates/attorneys, has been subject to varying judicial interpretations. The core issue arises from the distinction between an advocate and a full-time salaried employee under the Advocates Act and the BCI Rules, particularly Rule 49. This rule provides that an advocate should not be a full-time salaried employee of any individual or entity while continuing to practice law. Once employed full time, the individual is expected to suspend their right to practice for the duration of such employment.</w:t>
                  </w:r>
                </w:p>
                <w:p>
                  <w:pPr>
                    <w:pStyle w:val="BodyText"/>
                  </w:pPr>
                  <w:r>
                    <w:t xml:space="preserve">This has led to questions as to whether in-house counsel, often engaged in non-litigious or advisory roles, can be regarded as "practicing advocates" for the purpose of invoking attorney-client privilege under the BSA.</w:t>
                  </w:r>
                </w:p>
                <w:p>
                  <w:pPr>
                    <w:pStyle w:val="BodyText"/>
                  </w:pPr>
                  <w:r>
                    <w:t xml:space="preserve">In </w:t>
                  </w:r>
                  <w:r>
                    <w:rPr>
                      <w:i/>
                    </w:rPr>
                    <w:t xml:space="preserve">Satish Kumar Sharma v. Bar Council of Himachal Pradesh </w:t>
                  </w:r>
                  <w:r>
                    <w:t xml:space="preserve">[2001], the Supreme Court took the view that full-time legal officers employed by the government may not fall within the statutory definition of a practicing advocate, especially where there is no express exemption under the applicable state bar council rules. Similarly, in </w:t>
                  </w:r>
                  <w:r>
                    <w:rPr>
                      <w:i/>
                    </w:rPr>
                    <w:t xml:space="preserve">Sushma Suri v. Govt. of NCT of Delhi and Anr. </w:t>
                  </w:r>
                  <w:r>
                    <w:t xml:space="preserve">[1998]</w:t>
                  </w:r>
                  <w:r>
                    <w:rPr>
                      <w:i/>
                    </w:rPr>
                    <w:t xml:space="preserve">,</w:t>
                  </w:r>
                  <w:r>
                    <w:t xml:space="preserve"> the Supreme Court noted that whether an employed legal professional continues to be regarded as an advocate depends on whether their role involves appearing and pleading in court on behalf of their employer.</w:t>
                  </w:r>
                </w:p>
                <w:p>
                  <w:pPr>
                    <w:pStyle w:val="BodyText"/>
                  </w:pPr>
                  <w:r>
                    <w:t xml:space="preserve">At the High Court level, there have been decisions indicating a more inclusive approach. For example, in </w:t>
                  </w:r>
                  <w:r>
                    <w:rPr>
                      <w:i/>
                    </w:rPr>
                    <w:t xml:space="preserve">Municipal Corporation of Greater Bombay v. Vijay Metal Works </w:t>
                  </w:r>
                  <w:r>
                    <w:t xml:space="preserve">[1981], the Bombay High Court suggested that legal advice provided by in-house legal advisers should receive the same protection as that from external counsel, provided the communication relates to legal advice. Likewise, in </w:t>
                  </w:r>
                  <w:r>
                    <w:rPr>
                      <w:i/>
                    </w:rPr>
                    <w:t xml:space="preserve">Larsen &amp; Toubro Ltd. v. Prime Displays (P) Ltd. </w:t>
                  </w:r>
                  <w:r>
                    <w:t xml:space="preserve">[2002], the court observed that privilege may still apply where the in-house counsel, but for their employment, would otherwise be qualified to give legal advice.</w:t>
                  </w:r>
                </w:p>
                <w:p>
                  <w:pPr>
                    <w:pStyle w:val="BodyText"/>
                  </w:pPr>
                  <w:r>
                    <w:t xml:space="preserve">However, it is important to note that these decisions are of persuasive value only, and there is currently no authoritative ruling from the Supreme Court explicitly giving the status of an advocate to an in-house counsel for the purposes of attorney-client privilege.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internal communications between in-house lawyers?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Given the judicial precedents to date, legal privilege is not likely to extend to internal communications between a company and its in-house legal counsel.</w:t>
                  </w:r>
                </w:p>
                <w:p>
                  <w:pPr>
                    <w:pStyle w:val="BodyText"/>
                  </w:pPr>
                  <w:r>
                    <w:t xml:space="preserve">This position stems from the Supreme Court's ruling in </w:t>
                  </w:r>
                  <w:r>
                    <w:rPr>
                      <w:i/>
                    </w:rPr>
                    <w:t xml:space="preserve">Satish Kumar Sharma v. Bar Council of Himachal Pradesh </w:t>
                  </w:r>
                  <w:r>
                    <w:t xml:space="preserve">[2001], which held that in-house lawyers, being full-time salaried employees, do not qualify as practicing advocates under the Advocates Act . As a result, they do not enjoy the protections afforded to advocates/attorneys under the BSA, which governs attorney-client privilege. Accordingly, communications with in-house counsel are not protected by legal privilege in the same way as communications with external counsel.</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foreign lawyers recognized for the purposes of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treatment of foreign lawyers under Indian law, for the purposes of attorney-client privilege, remains a gray area. While Indian statutes such as the Advocates Act and the BSA appear to limit privilege protections to individuals enrolled as advocates/attorneys with a state bar council in India, there is limited judicial guidance on how privilege applies to communications with foreign-qualified lawyers. The Supreme Court in </w:t>
                  </w:r>
                  <w:r>
                    <w:rPr>
                      <w:i/>
                    </w:rPr>
                    <w:t xml:space="preserve">Bar Council of India v. A.K. Balaji</w:t>
                  </w:r>
                  <w:r>
                    <w:t xml:space="preserve"> [2018] clarified that foreign lawyers are not permitted to practice Indian law or appear before Indian courts, highlighting the distinction between Indian advocates/attorneys and foreign legal professionals. Based on this, it is generally understood that communications with foreign lawyers, particularly where advice concerns Indian legal issues or is rendered to Indian clients, may not attract legal privilege under Indian law.</w:t>
                  </w:r>
                </w:p>
                <w:p>
                  <w:pPr>
                    <w:pStyle w:val="BodyText"/>
                  </w:pPr>
                  <w:r>
                    <w:t xml:space="preserve">The Bar Council of India introduced the Rules for Registration and Regulation of Foreign Lawyers and Foreign Law Firms in 2023, amended further in May 2025. These rules only permit foreign lawyers to advise foreign clients on foreign and international law, subject to strict registration and compliance requirements. The amended rules explicitly prohibit foreign lawyers from practicing Indian law, appearing in Indian courts or tribunals, or advising Indian clients. Accordingly, communications with foreign lawyers may only attract privilege where the advice concerns foreign or international law and is privileged under the applicable foreign jurisdiction.</w:t>
                  </w:r>
                </w:p>
                <w:p>
                  <w:pPr>
                    <w:pStyle w:val="BodyText"/>
                  </w:pPr>
                  <w:r>
                    <w:t xml:space="preserve">Given that this area remains largely untested in Indian courts, there is some uncertainty as to how privilege claims involving foreign lawyers will be treated, particularly in cross-border or multijurisdictional matters. Companies should therefore structure such engagements carefully to mitigate the risk of waiver or loss of privilege under Indian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privilege extend to nonlegal professionals who may from time to time advise on legal issues relating to their field, e.g., accountants or tax consultants advising on tax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Legal privilege under Indian law does not extend to nonlegal professionals such as accountants, tax consultants or forensic experts even where they provide advice on matters that have legal implications.</w:t>
                  </w:r>
                </w:p>
                <w:p>
                  <w:pPr>
                    <w:pStyle w:val="BodyText"/>
                  </w:pPr>
                  <w:r>
                    <w:t xml:space="preserve">While the BSA does not explicitly provide privilege to communications with such professionals in practice, if nonlegal professionals are engaged by advocates/attorneys specifically to assist in rendering legal advice or in connection with anticipated litigation, there may be an argument for extending privilege, though this is not definitively settled.</w:t>
                  </w:r>
                </w:p>
                <w:p>
                  <w:pPr>
                    <w:pStyle w:val="BodyText"/>
                  </w:pPr>
                  <w:r>
                    <w:t xml:space="preserve">This view finds some support in the Bombay High Court's decision in </w:t>
                  </w:r>
                  <w:r>
                    <w:rPr>
                      <w:i/>
                    </w:rPr>
                    <w:t xml:space="preserve">Larsen &amp; Toubro Ltd. v. Prime Displays (P) Ltd.</w:t>
                  </w:r>
                  <w:r>
                    <w:t xml:space="preserve"> [2002], where the Court upheld privilege over documents prepared in anticipation of litigation. While the ruling did not directly address nonlegal professionals, it emphasized the importance of the context and purpose for which the communication or document was created, suggesting that documents created at the direction of legal counsel for legal advice or litigation strategy may be protected, even if prepared by third-party experts. However, in the absence of clear statutory language or binding precedent, the applicability of privilege in such cases is likely to be assessed on a case-by-case basis.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04 - Sharing documents with third parties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In what circumstances (if any) can a document be given to a third party without losing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 document protected by attorney-client privilege may be disclosed to a third party only in limited and clearly defined circumstances, without resulting in a waiver of such protection. Whether privilege is waived depends on the facts and circumstances of each case and is typically assessed by the courts on a case-by-case basis.</w:t>
                  </w:r>
                </w:p>
                <w:p>
                  <w:pPr>
                    <w:pStyle w:val="BodyText"/>
                  </w:pPr>
                  <w:r>
                    <w:t xml:space="preserve">Privileged communications remain protected unless the party voluntarily questions their advocate/attorney as a witness on matters that would otherwise be considered privileged. Additionally, certain disclosures to third parties, such as to government authorities through seizure or investigation, do not automatically constitute a waiver of privilege. In such instances, courts may still recognize and uphold the privileged nature of the documents, depending on the context and purpose of the disclosure.</w:t>
                  </w:r>
                </w:p>
                <w:p>
                  <w:pPr>
                    <w:pStyle w:val="BodyText"/>
                  </w:pPr>
                  <w:r>
                    <w:t xml:space="preserve">Any waiver of privilege should be made by the client, and such waiver should be explicit and complete. The BSA does not permit partial or selective waivers. This principle was upheld by the Supreme Court in </w:t>
                  </w:r>
                  <w:r>
                    <w:rPr>
                      <w:i/>
                    </w:rPr>
                    <w:t xml:space="preserve">Reliance Industries Limited v. SEBI</w:t>
                  </w:r>
                  <w:r>
                    <w:t xml:space="preserve"> [2022], where the court held that selective disclosure amounts to "cherry-picking" and is not permissible under law.</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05 -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differences in how privilege operates in civil, criminal, regulatory or investigatory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Indian law, the concept of attorney-client privilege under the BSA may extend to civil, criminal, regulatory and investigatory contexts, though its application can depend on the specific facts and circumstances of each matter. Courts may assess the scope of privilege differently based on the nature of the proceeding and the type of communication involved.</w:t>
                  </w:r>
                </w:p>
                <w:p>
                  <w:pPr>
                    <w:pStyle w:val="BodyText"/>
                  </w:pPr>
                  <w:r>
                    <w:t xml:space="preserve">In civil and criminal proceedings, courts are generally required to respect privilege attached to confidential legal advice exchanged between a client and an advocate/attorney. Section 132 of the BSA protects communications made during the course of a professional engagement, and courts have recognized the sanctity of such privilege, particularly where legal advice is sought in good faith and not in furtherance of any illegal purposes. Privilege also extends to legal work product prepared in anticipation of litigation, as recognized in </w:t>
                  </w:r>
                  <w:r>
                    <w:rPr>
                      <w:i/>
                    </w:rPr>
                    <w:t xml:space="preserve">Larsen &amp; Toubro Ltd. v. Prime Displays (P) Ltd. </w:t>
                  </w:r>
                  <w:r>
                    <w:t xml:space="preserve">[2002].</w:t>
                  </w:r>
                </w:p>
                <w:p>
                  <w:pPr>
                    <w:pStyle w:val="BodyText"/>
                  </w:pPr>
                  <w:r>
                    <w:t xml:space="preserve">In regulatory or investigatory contexts, privilege may be more complex in practice. Regulatory authorities often expect full cooperation, including the sharing of internal documentation. While companies are generally encouraged to cooperate, they are still entitled to assert privilege over legal communications and work product. If law enforcement or regulatory agencies insist on disclosing privileged materials, companies should expressly inform them of the privileged nature of such content. If the privilege claim is contested, the appropriate remedy would lie before a court of law.</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notes of interviews with employees and other documents produced during investigations be covered by privilege?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extent to which interview notes and other documents made/discovered during internal investigations are protected by legal privilege under Indian law depends on the purpose and structure of the investigation. While the jurisprudence in India remains relatively nascent in this area, courts have recognized, notably in </w:t>
                  </w:r>
                  <w:r>
                    <w:rPr>
                      <w:i/>
                    </w:rPr>
                    <w:t xml:space="preserve">Larsen &amp; Toubro Ltd. v. Prime Displays (P) Ltd. </w:t>
                  </w:r>
                  <w:r>
                    <w:t xml:space="preserve">[2002], that legal advice and work product prepared in anticipation of litigation may be privileged. However, under the Advocates Act, such protection will apply only if the investigation is conducted by and under the instructions of advocates/attorneys and clearly marked as privileged.</w:t>
                  </w:r>
                </w:p>
                <w:p>
                  <w:pPr>
                    <w:pStyle w:val="BodyText"/>
                  </w:pPr>
                  <w:r>
                    <w:t xml:space="preserve">However, a distinction should be made between factual transcripts or summaries, which may be treated as discoverable records, and counsel's impressions or legal analysis, which are more likely to be considered privileged work product.</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06 - Regulatory investigations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Can governmental regulators require a privileged document to be provided to them?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Regulatory authorities, such as the Enforcement Directorate, the Securities and Exchange Board of India and the Competition Commission typically require full cooperation during the course of investigations or inspections. It is a standard practice for such authorities to expect the entities under scrutiny to produce documents, respond to queries, and even record statements. Any conduct that may be construed as evasive, noncooperative, or noncompliant, such as refusing to provide information or delaying the process, may attract adverse inferences.</w:t>
                  </w:r>
                </w:p>
                <w:p>
                  <w:pPr>
                    <w:pStyle w:val="BodyText"/>
                  </w:pPr>
                  <w:r>
                    <w:t xml:space="preserve">That said, privileged materials, particularly legal advice or work products prepared by external counsel, stand on a different footing. If a regulator or law enforcement authority seeks access to documents that are subject to attorney-client privilege, the company is entitled to inform the authority that such materials are legally protected. If the claim of privilege is disputed, the appropriate course of action would be to seek judicial recourse.</w:t>
                  </w:r>
                </w:p>
                <w:p>
                  <w:pPr>
                    <w:pStyle w:val="BodyText"/>
                  </w:pPr>
                  <w:r>
                    <w:t xml:space="preserve">In this regard, the Supreme Court recently in </w:t>
                  </w:r>
                  <w:r>
                    <w:rPr>
                      <w:i/>
                    </w:rPr>
                    <w:t xml:space="preserve">Aswinkumar Govindbhai Prajapati v. State of Gujarat &amp; Anr</w:t>
                  </w:r>
                  <w:r>
                    <w:t xml:space="preserve"> [2025] held that the legal profession plays a vital role in the administration of justice. It emphasized that lawyers, in addition to enjoying the right to practice their profession under Article 19(1)(g) of the Constitution of India, are also entitled to specific rights and protections by virtue of their role and under Section 132 of the BSA. The court observed that allowing investigating or prosecuting agencies to directly summon defence counsel or legal advisors involved in a case would seriously undermine the autonomy of the legal provision and would even constitute a direct threat to the independence of the administration of justice.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07 - Artificial intelligence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law of privilege or professional secrecy protect inputs by lawyers into generative AI tools and the resulting outputs?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existing Indian evidence law, the principle of attorney-client privilege casts an obligation upon attorneys to maintain confidentiality with respect to any legal advice provided to or communications exchanged with the client and ensures that such communications would be protected from disclosures in the court of law.</w:t>
                  </w:r>
                </w:p>
                <w:p>
                  <w:pPr>
                    <w:pStyle w:val="BodyText"/>
                  </w:pPr>
                  <w:r>
                    <w:t xml:space="preserve">The usage of AI tools by attorneys (including their inputs and resulting outputs) remains uncertain, and related aspects are yet to be tested judicially in courts.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08 - Recent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(if any) recent issues have arisen in relation to privilege in the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Indian courts have often upheld the principle of attorney-client privilege, which protects confidential communications exchanged between an advocate/attorney and their client for the purpose of obtaining legal advice. Indian law treats legal privilege as a qualified right. The boundaries also continue to evolve, especially in the context of internal corporate investigations, where courts and regulators are increasingly called upon to balance the confidentiality of legal advice with the demands of regulatory oversight and transparency.</w:t>
                  </w:r>
                </w:p>
                <w:p>
                  <w:pPr>
                    <w:pStyle w:val="BodyText"/>
                  </w:pPr>
                  <w:r>
                    <w:t xml:space="preserve">In recent years, regulatory and enforcement bodies, including the Enforcement Directorate, the Securities and Exchange Board of India, and the Serious Fraud Investigation Office have increasingly sought access to communications between attorneys and corporate clients during investigations into financial crimes, compliance breaches, or corporate misconduct. These agencies often argue that certain documents or legal opinions are central to establishing facts, tracing financial transactions, or proving intent. This results in a gray area where privilege is weighed against the public interest in enforcement, especially in white-collar and regulatory matters.</w:t>
                  </w:r>
                </w:p>
                <w:p>
                  <w:pPr>
                    <w:pStyle w:val="BodyText"/>
                  </w:pPr>
                  <w:r>
                    <w:t xml:space="preserve">A recent case highlights the ongoing issues around legal privilege. A practicing advocate was summoned by the police to provide information about a client who had filed a bail application. In response, the Supreme Court in </w:t>
                  </w:r>
                  <w:r>
                    <w:rPr>
                      <w:i/>
                    </w:rPr>
                    <w:t xml:space="preserve">Aswinkumar Govindbhai Prajapati v. State of Gujarat &amp; Anr</w:t>
                  </w:r>
                  <w:r>
                    <w:t xml:space="preserve"> [2025] took note of the broader implications and sought the views of key legal bodies, including the Attorney General of India, the Bar Council of India, and the Supreme Court Bar Association. The Court raised two key questions: (i) can a lawyer who is only advising a client be directly summoned by investigators, and (ii) if there are allegations of a lawyer’s deeper involvement, should a court first review the matter before allowing such a summons. The Court’s approach indicates that a more structured and protective framework for legal professionals may be on the horizon.</w:t>
                  </w:r>
                </w:p>
                <w:p>
                  <w:pPr>
                    <w:pStyle w:val="BodyText"/>
                  </w:pPr>
                  <w:r>
                    <w:t xml:space="preserve">The status of communications with in-house legal counsel has been particularly contentious in India. Judicial determinations often depend on the specific context, nature and purpose of communication, making the application of privilege in these scenarios fact-specific and variable.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09 - Authors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Authors and contact information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Ms. Rupinder Malik</w:t>
                  </w:r>
                  <w:r>
                    <w:br/>
                  </w:r>
                  <w:r>
                    <w:t xml:space="preserve">Partner, JSA Advocates and Solicitors — India</w:t>
                  </w:r>
                  <w:r>
                    <w:br/>
                  </w:r>
                  <w:r>
                    <w:t xml:space="preserve">M: +918800593838</w:t>
                  </w:r>
                  <w:r>
                    <w:br/>
                  </w:r>
                  <w:hyperlink w:history="true" r:id="Rc56e3047d7b24183">
                    <w:r>
                      <w:rPr>
                        <w:rStyle w:val="Hyperlink"/>
                      </w:rPr>
                      <w:t xml:space="preserve">rupinder.malik@jsalaw.com</w:t>
                    </w:r>
                  </w:hyperlink>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pPr>
        <w:pStyle w:val="Disclaimer"/>
      </w:pPr>
      <w:r>
        <w:t xml:space="preserve">© 2026 Baker McKenzie. All rights reserved.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https://resourcehub.bakermckenzie.com/en/resources/global-attorney-client-privilege-guide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mailto:rupinder.malik@jsalaw.com" TargetMode="External" Id="Rc56e3047d7b2418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