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Corporate Real Estate Guide - Switzerland</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July 2023.</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Real Estate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included in the term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term "real estate" includes the following:</w:t>
                  </w:r>
                </w:p>
                <w:p>
                  <w:pPr>
                    <w:pStyle w:val="BodyText"/>
                  </w:pPr>
                  <w:pPr>
                    <w:pStyle w:val="ListParagraph"/>
                    <w:numPr>
                      <w:ilvl w:val="0"/>
                      <w:numId w:val="29"/>
                    </w:numPr>
                  </w:pPr>
                  <w:r>
                    <w:t xml:space="preserve">Land</w:t>
                  </w:r>
                </w:p>
                <w:p>
                  <w:pPr>
                    <w:pStyle w:val="BodyText"/>
                  </w:pPr>
                  <w:pPr>
                    <w:pStyle w:val="ListParagraph"/>
                    <w:numPr>
                      <w:ilvl w:val="0"/>
                      <w:numId w:val="29"/>
                    </w:numPr>
                  </w:pPr>
                  <w:r>
                    <w:t xml:space="preserve">Any buildings or structures on it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laws govern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Real estate transactions are governed by the Swiss Civil Code and the Swiss Code of Obligations (which are federal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land registration system?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All cantons maintain a public land titles registration system − land registry − where ownership can be verified and through which interests in land are registered.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authority manages the registration of titles?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federal government is responsible for the supervision of the land register system. However, there is no central land register for the whole of Switzerland. The cantons are responsible for the establishment of the land registry offices, the circumscription of the land register districts and the maintenance of the land register.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rights over real property are required to be registered?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rights have to be registered to be valid:</w:t>
                  </w:r>
                </w:p>
                <w:p>
                  <w:pPr>
                    <w:pStyle w:val="BodyText"/>
                  </w:pPr>
                  <w:pPr>
                    <w:pStyle w:val="ListParagraph"/>
                    <w:numPr>
                      <w:ilvl w:val="0"/>
                      <w:numId w:val="27"/>
                    </w:numPr>
                  </w:pPr>
                  <w:r>
                    <w:t xml:space="preserve">Transfers</w:t>
                  </w:r>
                </w:p>
                <w:p>
                  <w:pPr>
                    <w:pStyle w:val="BodyText"/>
                  </w:pPr>
                  <w:pPr>
                    <w:pStyle w:val="ListParagraph"/>
                    <w:numPr>
                      <w:ilvl w:val="0"/>
                      <w:numId w:val="27"/>
                    </w:numPr>
                  </w:pPr>
                  <w:r>
                    <w:t xml:space="preserve">Mortgages</w:t>
                  </w:r>
                </w:p>
                <w:p>
                  <w:pPr>
                    <w:pStyle w:val="BodyText"/>
                  </w:pPr>
                  <w:pPr>
                    <w:pStyle w:val="ListParagraph"/>
                    <w:numPr>
                      <w:ilvl w:val="0"/>
                      <w:numId w:val="27"/>
                    </w:numPr>
                  </w:pPr>
                  <w:r>
                    <w:t xml:space="preserve">Easements</w:t>
                  </w:r>
                </w:p>
                <w:p>
                  <w:pPr>
                    <w:pStyle w:val="BodyText"/>
                  </w:pPr>
                  <w:pPr>
                    <w:pStyle w:val="ListParagraph"/>
                    <w:numPr>
                      <w:ilvl w:val="0"/>
                      <w:numId w:val="27"/>
                    </w:numPr>
                  </w:pPr>
                  <w:r>
                    <w:t xml:space="preserve">Real estate charges</w:t>
                  </w:r>
                </w:p>
                <w:p>
                  <w:pPr>
                    <w:pStyle w:val="BodyText"/>
                  </w:pPr>
                  <w:r>
                    <w:t xml:space="preserve">The following rights can be registered to have an effect propter rem against a third party:</w:t>
                  </w:r>
                </w:p>
                <w:p>
                  <w:pPr>
                    <w:pStyle w:val="BodyText"/>
                  </w:pPr>
                  <w:pPr>
                    <w:pStyle w:val="ListParagraph"/>
                    <w:numPr>
                      <w:ilvl w:val="0"/>
                      <w:numId w:val="28"/>
                    </w:numPr>
                  </w:pPr>
                  <w:r>
                    <w:t xml:space="preserve">Lease</w:t>
                  </w:r>
                </w:p>
                <w:p>
                  <w:pPr>
                    <w:pStyle w:val="BodyText"/>
                  </w:pPr>
                  <w:pPr>
                    <w:pStyle w:val="ListParagraph"/>
                    <w:numPr>
                      <w:ilvl w:val="0"/>
                      <w:numId w:val="28"/>
                    </w:numPr>
                  </w:pPr>
                  <w:r>
                    <w:t xml:space="preserve">Rights of first refusal</w:t>
                  </w:r>
                </w:p>
                <w:p>
                  <w:pPr>
                    <w:pStyle w:val="BodyText"/>
                  </w:pPr>
                  <w:pPr>
                    <w:pStyle w:val="ListParagraph"/>
                    <w:numPr>
                      <w:ilvl w:val="0"/>
                      <w:numId w:val="28"/>
                    </w:numPr>
                  </w:pPr>
                  <w:r>
                    <w:t xml:space="preserve">Option to purchase</w:t>
                  </w:r>
                </w:p>
                <w:p>
                  <w:pPr>
                    <w:pStyle w:val="BodyText"/>
                  </w:pPr>
                  <w:pPr>
                    <w:pStyle w:val="ListParagraph"/>
                    <w:numPr>
                      <w:ilvl w:val="0"/>
                      <w:numId w:val="28"/>
                    </w:numPr>
                  </w:pPr>
                  <w:r>
                    <w:t xml:space="preserve">Right of repurchase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documents can landowners use to prove ownership over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Land registries in Switzerland issue an official land registry extract once registration is completed.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 title search be conducted online?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Registered records are available to the public online, but not in every canton. The financial information (price of acquisition, mortgages, etc.) are, in particular, not publicly available and are subject to a justified interest.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foreigners own real property? Are there nationality restrictions on land ownership?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Swiss real estate by foreigners is governed by the Federal Law on the Acquisition of Real Estate by Persons Abroad of 16 December 1983 (“FL”), better known as the “Lex Koller”.</w:t>
                  </w:r>
                </w:p>
                <w:p>
                  <w:pPr>
                    <w:pStyle w:val="BodyText"/>
                  </w:pPr>
                  <w:r>
                    <w:t xml:space="preserve">The FL restricts the acquisition of real estate in Switzerland by persons abroad. Generally, to acquire real estate, permission has to be obtained from the appropriate cantonal authority. Whether or not a legal transaction is subject to authorization depends on three cumulative conditions:</w:t>
                  </w:r>
                </w:p>
                <w:p>
                  <w:pPr>
                    <w:pStyle w:val="BodyText"/>
                  </w:pPr>
                  <w:pPr>
                    <w:pStyle w:val="ListParagraph"/>
                    <w:numPr>
                      <w:ilvl w:val="0"/>
                      <w:numId w:val="26"/>
                    </w:numPr>
                  </w:pPr>
                  <w:r>
                    <w:t xml:space="preserve">The person acquiring the real estate is a person abroad within the meaning of the FL. Foreign citizens who do not hold a valid Swiss residence permit (the so-called B or C permit) are regarded as a “person abroad” and therefore they are required to obtain authorization before acquiring any private real estate property located in Switzerland. EU or EFTA citizens domiciled in Switzerland are not subject to any restriction and thus have exactly the same rights as Swiss nationals regarding any acquisition of real estate in Switzerland.</w:t>
                  </w:r>
                </w:p>
                <w:p>
                  <w:pPr>
                    <w:pStyle w:val="BodyText"/>
                  </w:pPr>
                  <w:pPr>
                    <w:pStyle w:val="ListParagraph"/>
                    <w:numPr>
                      <w:ilvl w:val="0"/>
                      <w:numId w:val="26"/>
                    </w:numPr>
                  </w:pPr>
                  <w:r>
                    <w:t xml:space="preserve">The object of the transaction is real estate for which authorization is required. The acquisition of real estate for business purposes is generally allowed (there are, however, some restrictions specially in case of unbuilt land) whereas foreigners are restricted from acquiring residential properties. There are some exemptions (such as main residence) or permissions that can be obtained specially for holiday homes in specific areas (the number of authorizations being limited by quotas).</w:t>
                  </w:r>
                </w:p>
                <w:p>
                  <w:pPr>
                    <w:pStyle w:val="BodyText"/>
                  </w:pPr>
                  <w:pPr>
                    <w:pStyle w:val="ListParagraph"/>
                    <w:numPr>
                      <w:ilvl w:val="0"/>
                      <w:numId w:val="26"/>
                    </w:numPr>
                  </w:pPr>
                  <w:r>
                    <w:t xml:space="preserve">The transaction is an “acquisition” within the meaning of the FL. The notion of “acquisition” encompasses not only entries of real estate ownership at the land registry but also any transaction that grants to a non-resident actual control over Swiss real estate for which prior authorization is required.</w:t>
                  </w:r>
                </w:p>
                <w:p>
                  <w:pPr>
                    <w:pStyle w:val="BodyText"/>
                  </w:pPr>
                  <w:r>
                    <w:t xml:space="preserve">A transaction concerning real estate for which authorization is required can be entered in the land registry only if the buyer has obtained permission. A transaction for which an authorization could not be obtained or is revoked becomes invalid.</w:t>
                  </w:r>
                </w:p>
                <w:p>
                  <w:pPr>
                    <w:pStyle w:val="BodyText"/>
                  </w:pPr>
                  <w:r>
                    <w:t xml:space="preserve">Even if these three conditions are met, there are certain exemptions that allow, in principle, an acquisition of real estate without authorization (for legal heirs, notably close relatives, co-owners, condominium exchanges, secondary residences for cross-border commuters).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the government expropriate real property?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Property can be expropriated by government or third parties to whom the right of expropriation has been transferred, but only under very strict requirements, and full compensation must be paid.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can real estate be held?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an interest is held by the following:</w:t>
                  </w:r>
                </w:p>
                <w:p>
                  <w:pPr>
                    <w:pStyle w:val="BodyText"/>
                  </w:pPr>
                  <w:pPr>
                    <w:pStyle w:val="ListParagraph"/>
                    <w:numPr>
                      <w:ilvl w:val="0"/>
                      <w:numId w:val="25"/>
                    </w:numPr>
                  </w:pPr>
                  <w:r>
                    <w:t xml:space="preserve">Ownership (sole ownership, co-ownership, condominium ownership, joint ownership)</w:t>
                  </w:r>
                </w:p>
                <w:p>
                  <w:pPr>
                    <w:pStyle w:val="BodyText"/>
                  </w:pPr>
                  <w:pPr>
                    <w:pStyle w:val="ListParagraph"/>
                    <w:numPr>
                      <w:ilvl w:val="0"/>
                      <w:numId w:val="25"/>
                    </w:numPr>
                  </w:pPr>
                  <w:r>
                    <w:t xml:space="preserve">Leasehold</w:t>
                  </w:r>
                </w:p>
                <w:p>
                  <w:pPr>
                    <w:pStyle w:val="BodyText"/>
                  </w:pPr>
                  <w:pPr>
                    <w:pStyle w:val="ListParagraph"/>
                    <w:numPr>
                      <w:ilvl w:val="0"/>
                      <w:numId w:val="25"/>
                    </w:numPr>
                  </w:pPr>
                  <w:r>
                    <w:t xml:space="preserve">Usufruct</w:t>
                  </w:r>
                </w:p>
                <w:p>
                  <w:pPr>
                    <w:pStyle w:val="BodyText"/>
                  </w:pPr>
                  <w:pPr>
                    <w:pStyle w:val="ListParagraph"/>
                    <w:numPr>
                      <w:ilvl w:val="0"/>
                      <w:numId w:val="25"/>
                    </w:numPr>
                  </w:pPr>
                  <w:r>
                    <w:t xml:space="preserve">Right of residence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structures used in investing in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4"/>
                    </w:numPr>
                  </w:pPr>
                  <w:r>
                    <w:t xml:space="preserve">Corporations and partnerships (including limited partnerships for collective investment )</w:t>
                  </w:r>
                </w:p>
                <w:p>
                  <w:pPr>
                    <w:pStyle w:val="BodyText"/>
                  </w:pPr>
                  <w:pPr>
                    <w:pStyle w:val="ListParagraph"/>
                    <w:numPr>
                      <w:ilvl w:val="0"/>
                      <w:numId w:val="24"/>
                    </w:numPr>
                  </w:pPr>
                  <w:r>
                    <w:t xml:space="preserve">Real estate funds</w:t>
                  </w:r>
                </w:p>
                <w:p>
                  <w:pPr>
                    <w:pStyle w:val="BodyText"/>
                  </w:pPr>
                  <w:pPr>
                    <w:pStyle w:val="ListParagraph"/>
                    <w:numPr>
                      <w:ilvl w:val="0"/>
                      <w:numId w:val="24"/>
                    </w:numPr>
                  </w:pPr>
                  <w:r>
                    <w:t xml:space="preserve">Public-private partnership</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are real estate transactions usually funded?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Most real estate financing is arranged through institutional lenders such as banks, pension funds and insurance companies. Interest rates are generally fixed for a specified period of time or are variable. Loans with variable interest rates are the most common form of loans secured by mortgages. The mortgage interest rate is determined by the leading Swiss banks. Swiss banks typically only request loans for residential properties to be amortized down to a LTV of approx. 60% and for commercial properties down to a LTC of approx. 50%.</w:t>
                  </w:r>
                </w:p>
                <w:p>
                  <w:pPr>
                    <w:pStyle w:val="BodyText"/>
                  </w:pPr>
                  <w:r>
                    <w:t xml:space="preserve">Typically, it is the borrower’s responsibility to pay for all of the lender’s legal and other costs, such as commitment and processing fees, in arranging property financing.</w:t>
                  </w:r>
                </w:p>
                <w:p>
                  <w:pPr>
                    <w:pStyle w:val="BodyText"/>
                  </w:pPr>
                  <w:r>
                    <w:t xml:space="preserve">Lending institutions typically take both primary and collateral security in real property and sometimes related assets. Typical primary security includes a mortgage or charge and, in some cases where the buyer is a corporation, the pledge and assignment of the shares. Collateral security often includes assignments of leases and rent and personal guarantees.</w:t>
                  </w:r>
                </w:p>
                <w:p>
                  <w:pPr>
                    <w:pStyle w:val="BodyText"/>
                  </w:pPr>
                  <w:r>
                    <w:t xml:space="preserve">Banks and other lending companies are regulated under federal legislation with special provisions applying to foreign financial institutions.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produces the documentation in real estate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share deals, generally the seller’s lawyer will prepare the initial draft of the share purchase agreement. In asset deals, the buyer’s notary usually prepares the purchase agreement, which is reviewed by lawyers.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owner or occupier inherit liability for matters relating to the real estate even if they occurred before the real estate was bought or occupied?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properties held as freehold, authorities can require the owner to clean up contamination (even if the owner did not cause it), or pay certain outstanding taxes.</w:t>
                  </w:r>
                </w:p>
                <w:p>
                  <w:pPr>
                    <w:pStyle w:val="BodyText"/>
                  </w:pPr>
                  <w:r>
                    <w:t xml:space="preserve">For properties held as leasehold, tenants are not held liable for environmental damage caused by a previous tenant.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seller or occupier retain any liabilities relating to the real estate after they have disposed of it?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seller can retain liabilities relating to the real estate even after it has disposed of it. The seller may be liable for any contamination it caused during its ownership and for any indebtedness (for instance, taxes unpaid by the previous owner) secured by a mortgage placed on the real estate.</w:t>
                  </w:r>
                </w:p>
                <w:p>
                  <w:pPr>
                    <w:pStyle w:val="BodyText"/>
                  </w:pPr>
                  <w:r>
                    <w:t xml:space="preserve">For properties held in leasehold, the tenant is not held liable for a previous tenant’s obligations.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Acquisition of Real Property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documents involved in such transactions?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21"/>
                    </w:numPr>
                  </w:pPr>
                  <w:r>
                    <w:t xml:space="preserve">Due diligence report</w:t>
                  </w:r>
                </w:p>
                <w:p>
                  <w:pPr>
                    <w:pStyle w:val="BodyText"/>
                  </w:pPr>
                  <w:pPr>
                    <w:ind w:left="375"/>
                  </w:pPr>
                  <w:r>
                    <w:t xml:space="preserve">Before signing a sale and purchase agreement, it is generally the responsibility of the buyer, usually through the buyer’s lawyer, to conduct due diligence with respect to the property to be acquired. This includes title and zoning searches and a review of any leases and surveys of the property as well as insurance coverage. An independent environmental assessment is often recommended.</w:t>
                  </w:r>
                </w:p>
                <w:p>
                  <w:pPr>
                    <w:pStyle w:val="BodyText"/>
                  </w:pPr>
                  <w:pPr>
                    <w:pStyle w:val="ListParagraph"/>
                    <w:numPr>
                      <w:ilvl w:val="0"/>
                      <w:numId w:val="22"/>
                    </w:numPr>
                  </w:pPr>
                  <w:r>
                    <w:t xml:space="preserve">Sale and purchase agreement</w:t>
                  </w:r>
                </w:p>
                <w:p>
                  <w:pPr>
                    <w:pStyle w:val="BodyText"/>
                  </w:pPr>
                  <w:pPr>
                    <w:ind w:left="375"/>
                  </w:pPr>
                  <w:r>
                    <w:t xml:space="preserve">The first document in any real estate acquisition is normally the sale and purchase agreement between the buyer and the seller. This agreement should contain all necessary business terms for the transaction, including the description of the land, purchase price, deposit (if any), the transfer date and any other special terms. This agreement also typically contains conditions for the benefit of the buyer, and representations and warranties by the seller.</w:t>
                  </w:r>
                </w:p>
                <w:p>
                  <w:pPr>
                    <w:pStyle w:val="BodyText"/>
                  </w:pPr>
                  <w:pPr>
                    <w:pStyle w:val="ListParagraph"/>
                    <w:numPr>
                      <w:ilvl w:val="0"/>
                      <w:numId w:val="23"/>
                    </w:numPr>
                  </w:pPr>
                  <w:r>
                    <w:t xml:space="preserve">In case of acquisition by a foreign person, a Lex Koller ruling may be required in certain cases.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warranties given by a seller to a buyer?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warranties usually relate to tax, capital expenditure, lease agreements and environmental issues. However, the seller usually gives limited representations and warranties. A buyer is therefore generally responsible for conducting extensive due diligence with respect to the property to be acquired. However, in case of a new building, the seller will give additional warranties, in particular construction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the sale legally binding?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Parties are legally bound as soon as they execute the sale and purchase agreement before a public notary (in case of asset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When is title transferred?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title is transferred at the date of registration of the sale and purchase deed in the land registry.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costs usually shouldered by the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buyer usually pays for the following:</w:t>
                  </w:r>
                </w:p>
                <w:p>
                  <w:pPr>
                    <w:pStyle w:val="BodyText"/>
                  </w:pPr>
                  <w:pPr>
                    <w:pStyle w:val="ListParagraph"/>
                    <w:numPr>
                      <w:ilvl w:val="0"/>
                      <w:numId w:val="19"/>
                    </w:numPr>
                  </w:pPr>
                  <w:r>
                    <w:t xml:space="preserve">Buyer’s agent’s fees</w:t>
                  </w:r>
                </w:p>
                <w:p>
                  <w:pPr>
                    <w:pStyle w:val="BodyText"/>
                  </w:pPr>
                  <w:pPr>
                    <w:pStyle w:val="ListParagraph"/>
                    <w:numPr>
                      <w:ilvl w:val="0"/>
                      <w:numId w:val="19"/>
                    </w:numPr>
                  </w:pPr>
                  <w:r>
                    <w:t xml:space="preserve">Legal costs, including notarial costs</w:t>
                  </w:r>
                </w:p>
                <w:p>
                  <w:pPr>
                    <w:pStyle w:val="BodyText"/>
                  </w:pPr>
                  <w:pPr>
                    <w:pStyle w:val="ListParagraph"/>
                    <w:numPr>
                      <w:ilvl w:val="0"/>
                      <w:numId w:val="19"/>
                    </w:numPr>
                  </w:pPr>
                  <w:r>
                    <w:t xml:space="preserve">Due diligence costs for consultants who have prepared building condition reports, environmental assessments, valuation appraisals and real estate surveys</w:t>
                  </w:r>
                </w:p>
                <w:p>
                  <w:pPr>
                    <w:pStyle w:val="BodyText"/>
                  </w:pPr>
                  <w:pPr>
                    <w:pStyle w:val="ListParagraph"/>
                    <w:numPr>
                      <w:ilvl w:val="0"/>
                      <w:numId w:val="19"/>
                    </w:numPr>
                  </w:pPr>
                  <w:r>
                    <w:t xml:space="preserve">Registration fees</w:t>
                  </w:r>
                </w:p>
                <w:p>
                  <w:pPr>
                    <w:pStyle w:val="BodyText"/>
                  </w:pPr>
                  <w:pPr>
                    <w:pStyle w:val="ListParagraph"/>
                    <w:numPr>
                      <w:ilvl w:val="0"/>
                      <w:numId w:val="19"/>
                    </w:numPr>
                  </w:pPr>
                  <w:r>
                    <w:t xml:space="preserve">Transfer taxes</w:t>
                  </w:r>
                </w:p>
                <w:p>
                  <w:pPr>
                    <w:pStyle w:val="BodyText"/>
                  </w:pPr>
                  <w:r>
                    <w:t xml:space="preserve">The seller usually pays for the following:</w:t>
                  </w:r>
                </w:p>
                <w:p>
                  <w:pPr>
                    <w:pStyle w:val="BodyText"/>
                  </w:pPr>
                  <w:pPr>
                    <w:pStyle w:val="ListParagraph"/>
                    <w:numPr>
                      <w:ilvl w:val="0"/>
                      <w:numId w:val="20"/>
                    </w:numPr>
                  </w:pPr>
                  <w:r>
                    <w:t xml:space="preserve">The seller’s agent’s fees</w:t>
                  </w:r>
                </w:p>
                <w:p>
                  <w:pPr>
                    <w:pStyle w:val="BodyText"/>
                  </w:pPr>
                  <w:pPr>
                    <w:pStyle w:val="ListParagraph"/>
                    <w:numPr>
                      <w:ilvl w:val="0"/>
                      <w:numId w:val="20"/>
                    </w:numPr>
                  </w:pPr>
                  <w:r>
                    <w:t xml:space="preserve">Costs of the seller’s legal advisers</w:t>
                  </w:r>
                </w:p>
                <w:p>
                  <w:pPr>
                    <w:pStyle w:val="BodyText"/>
                  </w:pPr>
                  <w:pPr>
                    <w:pStyle w:val="ListParagraph"/>
                    <w:numPr>
                      <w:ilvl w:val="0"/>
                      <w:numId w:val="20"/>
                    </w:numPr>
                  </w:pPr>
                  <w:r>
                    <w:t xml:space="preserve">Income tax on any profit made on the sale of the real estate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forms of leases?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6"/>
                    </w:numPr>
                  </w:pPr>
                  <w:r>
                    <w:t xml:space="preserve">Commercial/residential leases</w:t>
                  </w:r>
                </w:p>
                <w:p>
                  <w:pPr>
                    <w:pStyle w:val="BodyText"/>
                  </w:pPr>
                  <w:pPr>
                    <w:ind w:left="375"/>
                  </w:pPr>
                  <w:r>
                    <w:t xml:space="preserve">The majority of Swiss residents are tenants. As a consequence, there is a wide range of legal precedent regarding rental law. The regulations applicable to leases for residential premises partly differ from those for commercial premises.</w:t>
                  </w:r>
                </w:p>
                <w:p>
                  <w:pPr>
                    <w:pStyle w:val="BodyText"/>
                  </w:pPr>
                  <w:pPr>
                    <w:ind w:left="375"/>
                  </w:pPr>
                  <w:r>
                    <w:t xml:space="preserve">Under a lease agreement, the landlord leases the rented space to the tenant in return for rent payment. In residential leases, quite often standard form contracts are used to conclude rental agreements. The parties determine key issues (such as the object of the agreement, term, rent, ancillary costs) and agree that statutory provisions otherwise apply.</w:t>
                  </w:r>
                </w:p>
                <w:p>
                  <w:pPr>
                    <w:pStyle w:val="BodyText"/>
                  </w:pPr>
                  <w:pPr>
                    <w:pStyle w:val="ListParagraph"/>
                    <w:numPr>
                      <w:ilvl w:val="0"/>
                      <w:numId w:val="17"/>
                    </w:numPr>
                  </w:pPr>
                  <w:r>
                    <w:t xml:space="preserve">Ground leases</w:t>
                  </w:r>
                </w:p>
                <w:p>
                  <w:pPr>
                    <w:pStyle w:val="BodyText"/>
                  </w:pPr>
                  <w:pPr>
                    <w:ind w:left="375"/>
                  </w:pPr>
                  <w:r>
                    <w:t xml:space="preserve">A ground lease represents an easement that gives a person the right to erect or retain possession of a building on a parcel of land that he or she does not own. The ground lease is, unless otherwise agreed, transferable and may be inherited and can, as long as it is defined as an independent and permanent right (at least 30 years) be recorded as property in the land register. The advantage of such independent ground lease is that it can be individually mortgaged. An independent ground lease right can be set up for a maximum period of 100 years. As a rule, payment of ground lease interest is agreed and the grantor receives a lien to the ground lease to secure his or her claim.</w:t>
                  </w:r>
                </w:p>
                <w:p>
                  <w:pPr>
                    <w:pStyle w:val="BodyText"/>
                  </w:pPr>
                  <w:pPr>
                    <w:pStyle w:val="ListParagraph"/>
                    <w:numPr>
                      <w:ilvl w:val="0"/>
                      <w:numId w:val="18"/>
                    </w:numPr>
                  </w:pPr>
                  <w:r>
                    <w:t xml:space="preserve">Usufructuary lease agreements (Pachtverträge)</w:t>
                  </w:r>
                </w:p>
                <w:p>
                  <w:pPr>
                    <w:pStyle w:val="BodyText"/>
                  </w:pPr>
                  <w:pPr>
                    <w:ind w:left="375"/>
                  </w:pPr>
                  <w:r>
                    <w:t xml:space="preserve">Usufructuary lease agreements grant the tenant the right to use the leased space as well as the additional right to all commercial profits  generated within the leased premises (e.g., restaurant, bar, hotel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lease provisions regulated or freely negotiable?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lease provisions are not regulated and are freely negotiable. However, rental law contains a number of compulsory provisions protecting the tenant (e.g., above-market rent, minimal notice periods).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maximum term for leases? Can these be extended?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Rental agreements may be agreed for a definite (fixed) or an indefinite period of time. For residential purposes, the latter is more common. For commercial purposes, fixed-term leases with extension options are more common.</w:t>
                  </w:r>
                </w:p>
                <w:p>
                  <w:pPr>
                    <w:pStyle w:val="BodyText"/>
                  </w:pPr>
                  <w:r>
                    <w:t xml:space="preserve">There is no exact maximum term for leases. If the lease agreement for business purposes has been concluded for a definite period of time, it will commonly have a fixed term of 5–20 years. Fixed terms below five years are rare as the rent cannot be raised proportionally to the development of the Swiss consumer price index.</w:t>
                  </w:r>
                </w:p>
                <w:p>
                  <w:pPr>
                    <w:pStyle w:val="BodyText"/>
                  </w:pPr>
                  <w:r>
                    <w:t xml:space="preserve">Quite often, rental agreements with a fixed term include an option in favor of the tenant to extend the lease once or twice, often each time for a period of five years. Depending on the agreement, the extension option is a “true option” or a “false option.” In the first case, the tenant is entirely free to exercise the option and no further negotiations are required. In the second case, the parties only agree that, prior to the expiry date, they will negotiate the terms of a new lease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usual lease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lease agreement for commercial purposes has been concluded for a definite period of time, quite often it has a fixed term of 5–20 years with an option in favor of the tenant to extend the lease twice, each time for a period of five years. There is current trend of shorter terms, except in sale and lease-back transactions where longer term leases are still common.</w:t>
                  </w:r>
                </w:p>
                <w:p>
                  <w:pPr>
                    <w:pStyle w:val="BodyText"/>
                  </w:pPr>
                  <w:r>
                    <w:t xml:space="preserve">Rental agreements for residential purposes are typically entered into for an indefinite period of time. In this case, each party can terminate the lease with three to six months’ prior notice.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instances where tenants may demand an extension of the lease?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tenant of residential or commercial premises may request an extension even in the case of a fixed term rental relationship, if the termination would result in hardship for the tenant unjustified by the interests of the landlord. The court will take into account the circumstances of the conclusion of the agreement, the duration of the rental relationship, the personal, family and economic condition of the parties and their behavior, the possible need for personal use by the landlord as well as the urgency of such needs and the conditions of the local market for residential and business space. A lease agreement may be extended for a maximum duration of four years with regard to residential space and for a maximum duration of six years with regard to business space.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On what grounds may a lease be terminated?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a lease agreement has been entered into for an indefinite period of time, both parties may generally terminate the lease agreement at any time by serving a notice with the statutory notice period with effect as of the statutory termination dates. The statutory notice period for residential leases is three months, and for commercial leases, six months. Longer notice periods can be agreed.</w:t>
                  </w:r>
                </w:p>
                <w:p>
                  <w:pPr>
                    <w:pStyle w:val="BodyText"/>
                  </w:pPr>
                  <w:r>
                    <w:t xml:space="preserve">Furthermore, a landlord can terminate the lease under the following circumstances (even in case of a fixed term lease):</w:t>
                  </w:r>
                </w:p>
                <w:p>
                  <w:pPr>
                    <w:pStyle w:val="BodyText"/>
                  </w:pPr>
                  <w:pPr>
                    <w:pStyle w:val="ListParagraph"/>
                    <w:numPr>
                      <w:ilvl w:val="0"/>
                      <w:numId w:val="15"/>
                    </w:numPr>
                  </w:pPr>
                  <w:r>
                    <w:t xml:space="preserve">The tenant falls behind with the payment of the rent or ancillary costs and the landlord has already granted the tenant a grace period for the payment and has threatened to terminate the lease agreement after the expiration of such grace period. If the tenant does not pay within the grace period, the landlord may give notice of termination of the lease agreement effective after a period of another 30 days and at the end of a calendar month; or</w:t>
                  </w:r>
                </w:p>
                <w:p>
                  <w:pPr>
                    <w:pStyle w:val="BodyText"/>
                  </w:pPr>
                  <w:pPr>
                    <w:pStyle w:val="ListParagraph"/>
                    <w:numPr>
                      <w:ilvl w:val="0"/>
                      <w:numId w:val="15"/>
                    </w:numPr>
                  </w:pPr>
                  <w:r>
                    <w:t xml:space="preserve">If the tenant repeatedly violates the duties of care and consideration to other occupants and neighbors of the rented premises, the landlord may give notice of termination of the lease agreement effective after a period of at least 30 days, as per the end of a calendar month, provided that the landlord has previously warned the tenant in writing that the continuation of the rental relationships is endangered due to the behavior of the tenant. The notice has immediate effect if the landlord can prove that the tenant intentionally caused serious damage to the leased premises.</w:t>
                  </w:r>
                </w:p>
                <w:p>
                  <w:pPr>
                    <w:pStyle w:val="BodyText"/>
                  </w:pPr>
                  <w:r>
                    <w:t xml:space="preserve">Finally, a tenant can terminate the lease when the landlord is aware of a defect and does not remedy it within an adequate time period. The tenant may give notice of termination with immediate effect if the defect prevents or significantly impairs the predetermined use of the leased premises. This termination right applies irrespective of whether a fixed term lease or an indefinite term lease has been agreed.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Must rents be paid in local currency?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parties are free to set the rent in other currencies. But arrangements for payment of rent in a foreign currency are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rent paid on a monthly basis? Is it required to be paid in advance?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will depend on the agreement of the parties. Rent for residential properties is usually paid monthly in advance. Rent for commercial properties is often paid monthly or quarterly in advance.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rent reviewed? Are there limits to the increase in rent?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parties have not agreed on any rent review mechanism, the rent may be reviewed where the landlord’s costs increase (or decrease), or the leased object has been improved. The landlord may increase rent with effect as of the next possible date of termination of the rental agreement. Such an increase must be formally notified and justified. It is typically justified if the increase of the rent is the result of an increase in the applicable benchmark interest rate issued by the Swiss government. The same adjustment mechanism also allows the tenant to request a rent review. The tenant may further request a rent review if the landlord achieves an excessive yield.</w:t>
                  </w:r>
                </w:p>
                <w:p>
                  <w:pPr>
                    <w:pStyle w:val="BodyText"/>
                  </w:pPr>
                  <w:r>
                    <w:t xml:space="preserve">On the other hand, the parties may agree, under certain conditions, on different forms of reviewing the rent, such as indexed rent, staggered rent or a turnover rent.</w:t>
                  </w:r>
                </w:p>
                <w:p>
                  <w:pPr>
                    <w:pStyle w:val="BodyText"/>
                  </w:pPr>
                  <w:r>
                    <w:t xml:space="preserve">In case of indexed rent, the rent may only be increased based on increases of the Swiss consumer price index. Indexed rent is only enforceable if the lease agreement is concluded for a fixed term of at least five years.</w:t>
                  </w:r>
                </w:p>
                <w:p>
                  <w:pPr>
                    <w:pStyle w:val="BodyText"/>
                  </w:pPr>
                  <w:r>
                    <w:t xml:space="preserve">Staggered rent is only enforceable under the following circumstances:</w:t>
                  </w:r>
                </w:p>
                <w:p>
                  <w:pPr>
                    <w:pStyle w:val="BodyText"/>
                  </w:pPr>
                  <w:pPr>
                    <w:pStyle w:val="ListParagraph"/>
                    <w:numPr>
                      <w:ilvl w:val="0"/>
                      <w:numId w:val="14"/>
                    </w:numPr>
                  </w:pPr>
                  <w:r>
                    <w:t xml:space="preserve">The lease agreement has been concluded for a fixed term of at least three years</w:t>
                  </w:r>
                </w:p>
                <w:p>
                  <w:pPr>
                    <w:pStyle w:val="BodyText"/>
                  </w:pPr>
                  <w:pPr>
                    <w:pStyle w:val="ListParagraph"/>
                    <w:numPr>
                      <w:ilvl w:val="0"/>
                      <w:numId w:val="14"/>
                    </w:numPr>
                  </w:pPr>
                  <w:r>
                    <w:t xml:space="preserve">The time period between each increase amounts to at least one year</w:t>
                  </w:r>
                </w:p>
                <w:p>
                  <w:pPr>
                    <w:pStyle w:val="BodyText"/>
                  </w:pPr>
                  <w:pPr>
                    <w:pStyle w:val="ListParagraph"/>
                    <w:numPr>
                      <w:ilvl w:val="0"/>
                      <w:numId w:val="14"/>
                    </w:numPr>
                  </w:pPr>
                  <w:r>
                    <w:t xml:space="preserve">The amount of the increase is fixed in advance</w:t>
                  </w:r>
                </w:p>
                <w:p>
                  <w:pPr>
                    <w:pStyle w:val="BodyText"/>
                  </w:pPr>
                  <w:r>
                    <w:t xml:space="preserve">Staggered rents and indexed rent cannot be combined for the same period of time. Therefore, commercial lease agreements sometimes provide for a staggered rent at the start of the lease agreement (e.g., to support the tenant in the setting up of his/her business) and subsequently for an indexed rent.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basic obligations of landlords and tenants?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following, among other obligations, is required of landlords:</w:t>
                  </w:r>
                </w:p>
                <w:p>
                  <w:pPr>
                    <w:pStyle w:val="BodyText"/>
                  </w:pPr>
                  <w:pPr>
                    <w:pStyle w:val="ListParagraph"/>
                    <w:numPr>
                      <w:ilvl w:val="0"/>
                      <w:numId w:val="12"/>
                    </w:numPr>
                  </w:pPr>
                  <w:r>
                    <w:t xml:space="preserve">Transfer the object of the lease at the agreed time in a suitable condition for the predetermined use and maintain it in such condition. In addition, a landlord is, in certain cases and at the request of a prospective tenant, obliged to inform the prospective tenant of the rent of the preceding tenant and provide him/her with the report of return</w:t>
                  </w:r>
                </w:p>
                <w:p>
                  <w:pPr>
                    <w:pStyle w:val="BodyText"/>
                  </w:pPr>
                  <w:pPr>
                    <w:pStyle w:val="ListParagraph"/>
                    <w:numPr>
                      <w:ilvl w:val="0"/>
                      <w:numId w:val="12"/>
                    </w:numPr>
                  </w:pPr>
                  <w:r>
                    <w:t xml:space="preserve">Remedy all defects of the leased object, except where these defects are only of a small value</w:t>
                  </w:r>
                </w:p>
                <w:p>
                  <w:pPr>
                    <w:pStyle w:val="BodyText"/>
                  </w:pPr>
                  <w:r>
                    <w:t xml:space="preserve">The following, among other obligations, is required of tenants:</w:t>
                  </w:r>
                </w:p>
                <w:p>
                  <w:pPr>
                    <w:pStyle w:val="BodyText"/>
                  </w:pPr>
                  <w:pPr>
                    <w:pStyle w:val="ListParagraph"/>
                    <w:numPr>
                      <w:ilvl w:val="0"/>
                      <w:numId w:val="13"/>
                    </w:numPr>
                  </w:pPr>
                  <w:r>
                    <w:t xml:space="preserve">Pay the rental fee on time</w:t>
                  </w:r>
                </w:p>
                <w:p>
                  <w:pPr>
                    <w:pStyle w:val="BodyText"/>
                  </w:pPr>
                  <w:pPr>
                    <w:pStyle w:val="ListParagraph"/>
                    <w:numPr>
                      <w:ilvl w:val="0"/>
                      <w:numId w:val="13"/>
                    </w:numPr>
                  </w:pPr>
                  <w:r>
                    <w:t xml:space="preserve">Pay ancillary costs</w:t>
                  </w:r>
                </w:p>
                <w:p>
                  <w:pPr>
                    <w:pStyle w:val="BodyText"/>
                  </w:pPr>
                  <w:pPr>
                    <w:pStyle w:val="ListParagraph"/>
                    <w:numPr>
                      <w:ilvl w:val="0"/>
                      <w:numId w:val="13"/>
                    </w:numPr>
                  </w:pPr>
                  <w:r>
                    <w:t xml:space="preserve">Inform the landlord if repairs are needed and give the landlord access to the property to carry out repairs</w:t>
                  </w:r>
                </w:p>
                <w:p>
                  <w:pPr>
                    <w:pStyle w:val="BodyText"/>
                  </w:pPr>
                  <w:pPr>
                    <w:pStyle w:val="ListParagraph"/>
                    <w:numPr>
                      <w:ilvl w:val="0"/>
                      <w:numId w:val="13"/>
                    </w:numPr>
                  </w:pPr>
                  <w:r>
                    <w:t xml:space="preserve">Use the leased object carefully, i.e., tenants must give due consideration to other occupants and neighbors of the rented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provisions or restrictions typically apply to the transfer of the lease by the tenant? May a tenant sublet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Both residential and commercial leases can be transferred provided all three parties (old tenant, new tenant and landlord) agree on the terms in a transfer agreement. In case of a commercial lease, however, the landlord may only refuse its consent for valid reasons. At the same time, the old tenant remains jointly liable with the new tenant until the next termination date.</w:t>
                  </w:r>
                </w:p>
                <w:p>
                  <w:pPr>
                    <w:pStyle w:val="BodyText"/>
                  </w:pPr>
                  <w:r>
                    <w:t xml:space="preserve">Given the consent of the landlord, the tenant may sublet the leased premises fully or partially. The landlord may refuse such consent only if the tenant refuses to inform the landlord of the terms of the sublease, if the terms of the sublease are less favourable to the landlord than the terms of the principal lease agreement or if the sublease triggers significant disadvantages for the landlord.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happens in the event of destruction of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a principle, the tenant can claim a rent reduction if the leased premises are destroyed or damaged. If the damage or destruction has been caused by the tenant, the landlord has a direct claim against the tenant.</w:t>
                  </w:r>
                </w:p>
                <w:p>
                  <w:pPr>
                    <w:pStyle w:val="BodyText"/>
                  </w:pPr>
                  <w:r>
                    <w:t xml:space="preserve">If the premises are substantially damaged or destroyed by an act of God and if the continuation of the lease is therefore no longer possible, the lease is terminated by operation of law. Neither the landlord nor the tenant owes the other for damages. The tenant can claim back rent paid in advance and security services.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is usually responsible for insuring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landlord is responsible for insuring the leased premises. However, it is suggested that tenants have their own private liability insurance to cover any damage caused to the property. Often lease agreements contain an obligation on the tenant to take out certain property-related insurance as well.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owner sells the leased premises?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the landlord sells or otherwise transfers the leased premises to a third party, the rental relationship is transferred to the buyer of the leased object by operation of law. However, the buyer may terminate the rental relationship with the statutory notice period (i.e., three months for residential premises and six months for business premises) effective as from the statutory termination date. However, this right can be exercised only if the new owner and landlord can demonstrate an urgent need of the leased premises for him/her, close relatives or in-laws. In case a fixed term lease is broken by the new owner based on the above-mentioned principles, the tenant can claim damages from the previous landlord (i.e., the seller).</w:t>
                  </w:r>
                </w:p>
                <w:p>
                  <w:pPr>
                    <w:pStyle w:val="BodyText"/>
                  </w:pPr>
                  <w:r>
                    <w:t xml:space="preserve">To protect him/herself from such termination by the new landlord, the tenant may register his/her lease agreement with the land registry. In this case, the buyer of the lease premises will have to accept the lease agreement as is and he or she cannot break the lease despite an urgent need to use the leased premises.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Will the lease survive if the leased premises are foreclosed?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principle, the same applies as in "Who is responsible for insuring the leased premises". At a foreclosure sale, a rental lease is generally transferred to the transferee. But if mortgage creditors suffer loss and their mortgage instruments have age-priority over the lease agreement, they may request a second auction (double call) without committing the buyer to take the lease. The double call is possible both for rental relationships marked in the land register as well as for unregistered long-term leases. After the double call, the buyer is allowed to terminate the rental relationship in compliance with the statutory notice period effective as from the statutory termination date.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 and Environmental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has authority over land development and environmental regulation?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Swiss Federal Constitution and federal law include guidelines regarding property development. Details are regulated by each canton, primarily by municipal law. Municipalities typically control land use and the density of the development through official plans and zoning laws. Construction of new projects is also subject to cantonal and municipal legislation. Building codes set specific standards for the construction of buildings. However, municipalities require building permits before the commencement of construction. At the same time, building codes regulate the maintenance of existing structures.</w:t>
                  </w:r>
                </w:p>
                <w:p>
                  <w:pPr>
                    <w:pStyle w:val="BodyText"/>
                  </w:pPr>
                  <w:r>
                    <w:t xml:space="preserve">The Swiss legislator has devoted an entire chapter in the Federal Constitution to the topic of environment and environmental protection. Based on these provisions, a number of federal laws and ordinances have been adopted governed by a set of principles (i.e., the principle of sustainability, the precautionary principle, the principle of the integral approach). Cantons are responsible for the enforcement of these 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environmental laws affect the use and occupation of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1"/>
                    </w:numPr>
                  </w:pPr>
                  <w:r>
                    <w:t xml:space="preserve">The Swiss Federal Constitution, federal laws and regulations provide guidelines</w:t>
                  </w:r>
                </w:p>
                <w:p>
                  <w:pPr>
                    <w:pStyle w:val="BodyText"/>
                  </w:pPr>
                  <w:pPr>
                    <w:pStyle w:val="ListParagraph"/>
                    <w:numPr>
                      <w:ilvl w:val="0"/>
                      <w:numId w:val="11"/>
                    </w:numPr>
                  </w:pPr>
                  <w:r>
                    <w:t xml:space="preserve">Cantonal and municipal laws and regulations govern the details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main permits or licenses are required for building or occupying real estate?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t xml:space="preserve">Building permit</w:t>
                  </w:r>
                </w:p>
                <w:p>
                  <w:pPr>
                    <w:pStyle w:val="BodyText"/>
                  </w:pPr>
                  <w:pPr>
                    <w:pStyle w:val="ListParagraph"/>
                    <w:numPr>
                      <w:ilvl w:val="0"/>
                      <w:numId w:val="10"/>
                    </w:numPr>
                  </w:pPr>
                  <w:r>
                    <w:t xml:space="preserve">Major work may also require a planning procedure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an environmental cleanup be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If contamination is detected, the land owner is in principle subject to a cleanup obligation. However, if the level of contamination does not exceed certain thresholds, action must only be taken when a new construction project is launched or the usage of the parcel of land is changed.</w:t>
                  </w:r>
                </w:p>
                <w:p>
                  <w:pPr>
                    <w:pStyle w:val="BodyText"/>
                  </w:pPr>
                  <w:r>
                    <w:t xml:space="preserve">The transfer or parceling of real estate property, which is included in the register of polluted sites, requires prior approval by the competent cantonal authority. This approval may be  conditional upon the provision of sufficient financial security for the risk assessment, surveillance and cleanup cost.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minimum energy performance requirements for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Many cantons in Switzerland require that new buildings meet certain energy performance requirements. There is, however, no generally applicable mandatory minimum energy efficiency standards in Switzerland. Therefore, the requirements of the individual canton have to be checked on a case-by-case basis.</w:t>
                  </w:r>
                </w:p>
                <w:p>
                  <w:pPr>
                    <w:pStyle w:val="BodyText"/>
                  </w:pPr>
                  <w:r>
                    <w:t xml:space="preserve">Energy performance is increasingly becoming a political topic. As a result, it is possible that new legislation will be passed on energy performance.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other regulatory measures that aim to improve the sustainability of newly constructed and existing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Since 2009, the Swiss government has provided funding for energy-efficient renovation of premises.</w:t>
                  </w:r>
                  <w:r>
                    <w:br/>
                  </w:r>
                  <w:r>
                    <w:br/>
                  </w:r>
                  <w:r>
                    <w:t xml:space="preserve">Energy-efficient construction is also supported by the majority of cantons, directly or indirectly, while the federal government is responsible for the coordination of the funding efforts of the cantons.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https://resourcehub.bakermckenzie.com/en/resources/global-corporate-real-estate-guide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26"/>
    <w:lvlOverride w:ilvl="0">
      <w:startOverride w:val="1"/>
    </w:lvlOverride>
  </w:num>
  <w:num w:numId="14">
    <w:abstractNumId w:val="34"/>
    <w:lvlOverride w:ilvl="0">
      <w:startOverride w:val="1"/>
    </w:lvlOverride>
  </w:num>
  <w:num w:numId="15">
    <w:abstractNumId w:val="42"/>
    <w:lvlOverride w:ilvl="0">
      <w:startOverride w:val="1"/>
    </w:lvlOverride>
  </w:num>
  <w:num w:numId="16">
    <w:abstractNumId w:val="50"/>
    <w:lvlOverride w:ilvl="0">
      <w:startOverride w:val="1"/>
    </w:lvlOverride>
  </w:num>
  <w:num w:numId="17">
    <w:abstractNumId w:val="50"/>
    <w:lvlOverride w:ilvl="0">
      <w:startOverride w:val="1"/>
    </w:lvlOverride>
  </w:num>
  <w:num w:numId="18">
    <w:abstractNumId w:val="50"/>
    <w:lvlOverride w:ilvl="0">
      <w:startOverride w:val="1"/>
    </w:lvlOverride>
  </w:num>
  <w:num w:numId="19">
    <w:abstractNumId w:val="58"/>
    <w:lvlOverride w:ilvl="0">
      <w:startOverride w:val="1"/>
    </w:lvlOverride>
  </w:num>
  <w:num w:numId="20">
    <w:abstractNumId w:val="58"/>
    <w:lvlOverride w:ilvl="0">
      <w:startOverride w:val="1"/>
    </w:lvlOverride>
  </w:num>
  <w:num w:numId="21">
    <w:abstractNumId w:val="66"/>
    <w:lvlOverride w:ilvl="0">
      <w:startOverride w:val="1"/>
    </w:lvlOverride>
  </w:num>
  <w:num w:numId="22">
    <w:abstractNumId w:val="66"/>
    <w:lvlOverride w:ilvl="0">
      <w:startOverride w:val="1"/>
    </w:lvlOverride>
  </w:num>
  <w:num w:numId="23">
    <w:abstractNumId w:val="66"/>
    <w:lvlOverride w:ilvl="0">
      <w:startOverride w:val="1"/>
    </w:lvlOverride>
  </w:num>
  <w:num w:numId="24">
    <w:abstractNumId w:val="74"/>
    <w:lvlOverride w:ilvl="0">
      <w:startOverride w:val="1"/>
    </w:lvlOverride>
  </w:num>
  <w:num w:numId="25">
    <w:abstractNumId w:val="82"/>
    <w:lvlOverride w:ilvl="0">
      <w:startOverride w:val="1"/>
    </w:lvlOverride>
  </w:num>
  <w:num w:numId="26">
    <w:abstractNumId w:val="90"/>
    <w:lvlOverride w:ilvl="0">
      <w:startOverride w:val="1"/>
    </w:lvlOverride>
  </w:num>
  <w:num w:numId="27">
    <w:abstractNumId w:val="98"/>
    <w:lvlOverride w:ilvl="0">
      <w:startOverride w:val="1"/>
    </w:lvlOverride>
  </w:num>
  <w:num w:numId="28">
    <w:abstractNumId w:val="98"/>
    <w:lvlOverride w:ilvl="0">
      <w:startOverride w:val="1"/>
    </w:lvlOverride>
  </w:num>
  <w:num w:numId="29">
    <w:abstractNumId w:val="10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