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New Zealand</w:t>
      </w:r>
      <w:r w:rsidR="00480329"/>
    </w:p>
    <w:p w:rsidRPr="00BC7873" w:rsidR="00BC7873" w:rsidP="00D354EF" w:rsidRDefault="00051AB4" w14:paraId="2476CC56" w14:textId="2FB25FA9">
      <w:pPr>
        <w:pStyle w:val="Title"/>
      </w:pPr>
      <w:r w:rsidRPr="00BC7873">
        <w:t>Data Processors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obligations for controllers to establish controls with respect to data processors?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Yes.</w:t>
              </w:r>
            </w:p>
            <w:p>
              <w:pPr>
                <w:pStyle w:val="BodyText"/>
              </w:pPr>
              <w:r>
                <w:t xml:space="preserve">The obligations are as follows:</w:t>
              </w:r>
            </w:p>
            <w:p>
              <w:pPr>
                <w:pStyle w:val="BodyText"/>
              </w:pPr>
              <w:r>
                <w:t xml:space="preserve">☒  controllers must conduct due conduct diligence on the processor to ensure it will provide appropriate security and processing of the personal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direct regulatory or statutory requirements on processors?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No.</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