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New Zealand</w:t>
      </w:r>
      <w:r w:rsidR="00480329"/>
    </w:p>
    <w:p w:rsidRPr="00BC7873" w:rsidR="00BC7873" w:rsidP="00D354EF" w:rsidRDefault="00051AB4" w14:paraId="2476CC56" w14:textId="2FB25FA9">
      <w:pPr>
        <w:pStyle w:val="Title"/>
      </w:pPr>
      <w:r w:rsidRPr="00BC7873">
        <w:t>International Data Transfer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restrictions on the transfer of personal data to third countries?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20 December 2024</w:t>
              </w:r>
            </w:p>
            <w:p>
              <w:pPr>
                <w:pStyle w:val="BodyText"/>
              </w:pPr>
              <w:r>
                <w:t xml:space="preserve">Yes.</w:t>
              </w:r>
            </w:p>
            <w:p>
              <w:pPr>
                <w:pStyle w:val="BodyText"/>
              </w:pPr>
              <w:r>
                <w:t xml:space="preserve">Under the Privacy Act, agencies wishing to disclose personal information to a foreign person or entity must only do so if they can satisfy one or more of the requirements listed in IPP 12. The Privacy Act defines a foreign entity or person as:</w:t>
              </w:r>
            </w:p>
            <w:p>
              <w:pPr>
                <w:pStyle w:val="BodyText"/>
              </w:pPr>
              <w:pPr>
                <w:pStyle w:val="ListParagraph"/>
                <w:numPr>
                  <w:ilvl w:val="0"/>
                  <w:numId w:val="9"/>
                </w:numPr>
              </w:pPr>
              <w:r>
                <w:t xml:space="preserve">An individual who is neither:</w:t>
              </w:r>
            </w:p>
            <w:p>
              <w:pPr>
                <w:pStyle w:val="BodyText"/>
              </w:pPr>
              <w:pPr>
                <w:pStyle w:val="ListParagraph"/>
                <w:numPr>
                  <w:ilvl w:val="1"/>
                  <w:numId w:val="10"/>
                </w:numPr>
                <w:ind w:left="1560"/>
              </w:pPr>
              <w:r>
                <w:t xml:space="preserve">Present in New Zealand</w:t>
              </w:r>
            </w:p>
            <w:p>
              <w:pPr>
                <w:pStyle w:val="BodyText"/>
              </w:pPr>
              <w:pPr>
                <w:pStyle w:val="ListParagraph"/>
                <w:numPr>
                  <w:ilvl w:val="1"/>
                  <w:numId w:val="10"/>
                </w:numPr>
                <w:ind w:left="1560"/>
              </w:pPr>
              <w:r>
                <w:t xml:space="preserve">Ordinarily present in New Zealand</w:t>
              </w:r>
            </w:p>
            <w:p>
              <w:pPr>
                <w:pStyle w:val="BodyText"/>
              </w:pPr>
              <w:pPr>
                <w:pStyle w:val="ListParagraph"/>
                <w:numPr>
                  <w:ilvl w:val="0"/>
                  <w:numId w:val="9"/>
                </w:numPr>
              </w:pPr>
              <w:r>
                <w:t xml:space="preserve">A body, incorporated or unincorporated, that:</w:t>
              </w:r>
            </w:p>
            <w:p>
              <w:pPr>
                <w:pStyle w:val="BodyText"/>
              </w:pPr>
              <w:pPr>
                <w:pStyle w:val="ListParagraph"/>
                <w:numPr>
                  <w:ilvl w:val="1"/>
                  <w:numId w:val="9"/>
                </w:numPr>
                <w:ind w:left="1560"/>
              </w:pPr>
              <w:r>
                <w:t xml:space="preserve">Is not established under the law of New Zealand</w:t>
              </w:r>
            </w:p>
            <w:p>
              <w:pPr>
                <w:pStyle w:val="BodyText"/>
              </w:pPr>
              <w:pPr>
                <w:pStyle w:val="ListParagraph"/>
                <w:numPr>
                  <w:ilvl w:val="1"/>
                  <w:numId w:val="9"/>
                </w:numPr>
                <w:ind w:left="1560"/>
              </w:pPr>
              <w:r>
                <w:t xml:space="preserve">Does not have its central control and management in New Zealand</w:t>
              </w:r>
            </w:p>
            <w:p>
              <w:pPr>
                <w:pStyle w:val="BodyText"/>
              </w:pPr>
              <w:pPr>
                <w:pStyle w:val="ListParagraph"/>
                <w:numPr>
                  <w:ilvl w:val="0"/>
                  <w:numId w:val="9"/>
                </w:numPr>
              </w:pPr>
              <w:r>
                <w:t xml:space="preserve">The Government of an overseas country.</w:t>
              </w:r>
            </w:p>
            <w:p>
              <w:pPr>
                <w:pStyle w:val="BodyText"/>
              </w:pPr>
              <w:r>
                <w:t xml:space="preserve">Transfers of personal data to third countries are only permissible if there is a legal basis for the processing/transfer and one of the following applies:</w:t>
              </w:r>
            </w:p>
            <w:p>
              <w:pPr>
                <w:pStyle w:val="BodyText"/>
              </w:pPr>
              <w:r>
                <w:t xml:space="preserve">☒  approved adequate/whitelisted jurisdictions</w:t>
              </w:r>
            </w:p>
            <w:p>
              <w:pPr>
                <w:pStyle w:val="BodyText"/>
              </w:pPr>
              <w:r>
                <w:t xml:space="preserve">☒  to holders of specific certifications or followers of specific code of conduct programs each approved by the relevant data protection and cybersecurity authority (e.g., EU-US Data Privacy Framework)</w:t>
              </w:r>
            </w:p>
            <w:p>
              <w:pPr>
                <w:pStyle w:val="BodyText"/>
              </w:pPr>
              <w:r>
                <w:t xml:space="preserve">☒  approved standard contractual clauses</w:t>
              </w:r>
            </w:p>
            <w:p>
              <w:pPr>
                <w:pStyle w:val="BodyText"/>
              </w:pPr>
              <w:r>
                <w:t xml:space="preserve">☒  other solutions</w:t>
              </w:r>
            </w:p>
            <w:p>
              <w:pPr>
                <w:pStyle w:val="BodyText"/>
              </w:pPr>
              <w:r>
                <w:rPr>
                  <w:b/>
                  <w:i/>
                </w:rPr>
                <w:t xml:space="preserve">Please see separate question for information on data localization provisions that are not restricted to personal data.</w:t>
              </w:r>
            </w:p>
            <w:p>
              <w:pPr>
                <w:pStyle w:val="BodyText"/>
              </w:pPr>
              <w:r>
                <w:t xml:space="preserve">Under IPP 12, an agency may only disclose personal information to a foreign person or entity if the agency can meet one or more of the requirements listed in IPP 12. The requirements are:</w:t>
              </w:r>
            </w:p>
            <w:p>
              <w:pPr>
                <w:pStyle w:val="BodyText"/>
              </w:pPr>
              <w:pPr>
                <w:pStyle w:val="ListParagraph"/>
                <w:numPr>
                  <w:ilvl w:val="0"/>
                  <w:numId w:val="11"/>
                </w:numPr>
              </w:pPr>
              <w:r>
                <w:t xml:space="preserve">The individual concerned authorizes disclosure after being expressly informed that the foreign person/entity may not be required to protect the information in a way that provides comparable safeguards to those under the Privacy Act.</w:t>
              </w:r>
            </w:p>
            <w:p>
              <w:pPr>
                <w:pStyle w:val="BodyText"/>
              </w:pPr>
              <w:pPr>
                <w:pStyle w:val="ListParagraph"/>
                <w:numPr>
                  <w:ilvl w:val="0"/>
                  <w:numId w:val="11"/>
                </w:numPr>
              </w:pPr>
              <w:r>
                <w:t xml:space="preserve">The foreign person/entity is carrying on business in New Zealand and is subject to the Privacy Act.</w:t>
              </w:r>
            </w:p>
            <w:p>
              <w:pPr>
                <w:pStyle w:val="BodyText"/>
              </w:pPr>
              <w:pPr>
                <w:pStyle w:val="ListParagraph"/>
                <w:numPr>
                  <w:ilvl w:val="0"/>
                  <w:numId w:val="11"/>
                </w:numPr>
              </w:pPr>
              <w:r>
                <w:t xml:space="preserve">The disclosing agency believes on reasonable grounds that the foreign person/entity is subject to laws that provide comparable safeguards to those under the Privacy Act.</w:t>
              </w:r>
            </w:p>
            <w:p>
              <w:pPr>
                <w:pStyle w:val="BodyText"/>
              </w:pPr>
              <w:pPr>
                <w:pStyle w:val="ListParagraph"/>
                <w:numPr>
                  <w:ilvl w:val="0"/>
                  <w:numId w:val="11"/>
                </w:numPr>
              </w:pPr>
              <w:r>
                <w:t xml:space="preserve">The disclosing agency believes on reasonable grounds that the recipient is a participant in a prescribed binding scheme.</w:t>
              </w:r>
            </w:p>
            <w:p>
              <w:pPr>
                <w:pStyle w:val="BodyText"/>
              </w:pPr>
              <w:pPr>
                <w:pStyle w:val="ListParagraph"/>
                <w:numPr>
                  <w:ilvl w:val="0"/>
                  <w:numId w:val="11"/>
                </w:numPr>
              </w:pPr>
              <w:r>
                <w:t xml:space="preserve">The disclosing agency believes on reasonable grounds that the recipient is subject to privacy laws of a prescribed country.</w:t>
              </w:r>
            </w:p>
            <w:p>
              <w:pPr>
                <w:pStyle w:val="BodyText"/>
              </w:pPr>
              <w:pPr>
                <w:pStyle w:val="ListParagraph"/>
                <w:numPr>
                  <w:ilvl w:val="0"/>
                  <w:numId w:val="11"/>
                </w:numPr>
              </w:pPr>
              <w:r>
                <w:t xml:space="preserve">The disclosing agency believes on reasonable grounds that the foreign person/entity is required to protect the information in a way that provides comparable safeguards to those under the Privacy Act, e.g., pursuant to an agreement between the disclosing agency and the foreign person/entity (noting that the Privacy Commissioner has provided Model Clauses for small/medium enterprises to use).</w:t>
              </w:r>
            </w:p>
            <w:p>
              <w:pPr>
                <w:pStyle w:val="BodyText"/>
              </w:pPr>
              <w:r>
                <w:t xml:space="preserve">Under the Privacy Act:</w:t>
              </w:r>
            </w:p>
            <w:p>
              <w:pPr>
                <w:pStyle w:val="BodyText"/>
              </w:pPr>
              <w:pPr>
                <w:pStyle w:val="ListParagraph"/>
                <w:numPr>
                  <w:ilvl w:val="0"/>
                  <w:numId w:val="12"/>
                </w:numPr>
              </w:pPr>
              <w:r>
                <w:t xml:space="preserve">Prescribed binding scheme means a binding scheme specified in regulations made under Section 213 of the Privacy Act. Currently, no such regulations have been made.</w:t>
              </w:r>
            </w:p>
            <w:p>
              <w:pPr>
                <w:pStyle w:val="BodyText"/>
              </w:pPr>
              <w:pPr>
                <w:pStyle w:val="ListParagraph"/>
                <w:numPr>
                  <w:ilvl w:val="0"/>
                  <w:numId w:val="12"/>
                </w:numPr>
              </w:pPr>
              <w:r>
                <w:t xml:space="preserve">Prescribed country means a country specified in regulations made under Section 214. Currently, no such regulations have been made.</w:t>
              </w:r>
            </w:p>
            <w:p>
              <w:pPr>
                <w:pStyle w:val="BodyText"/>
              </w:pPr>
              <w:r>
                <w:t xml:space="preserve">Under Section 193 of the Privacy Act, the Privacy Commissioner may prohibit a transfer of personal information from New Zealand (by a transfer prohibition notice) to another State if the Privacy Commissioner is satisfied, on reasonable grounds, that:</w:t>
              </w:r>
            </w:p>
            <w:p>
              <w:pPr>
                <w:pStyle w:val="BodyText"/>
              </w:pPr>
              <w:pPr>
                <w:pStyle w:val="ListParagraph"/>
                <w:numPr>
                  <w:ilvl w:val="0"/>
                  <w:numId w:val="12"/>
                </w:numPr>
              </w:pPr>
              <w:r>
                <w:t xml:space="preserve">The information has been or will be received in New Zealand from another country and is likely to be transferred to a third country that will not be subject to a law providing comparable safeguards to the Privacy Act.</w:t>
              </w:r>
            </w:p>
            <w:p>
              <w:pPr>
                <w:pStyle w:val="BodyText"/>
              </w:pPr>
              <w:pPr>
                <w:pStyle w:val="ListParagraph"/>
                <w:numPr>
                  <w:ilvl w:val="0"/>
                  <w:numId w:val="12"/>
                </w:numPr>
              </w:pPr>
              <w:r>
                <w:t xml:space="preserve">The transfer would likely lead to a contravention of the basic principles of national application set out in Part Two of the OECD Guidelines and set out in Schedule 8 of the Privacy Act.</w:t>
              </w:r>
            </w:p>
            <w:p>
              <w:pPr>
                <w:pStyle w:val="BodyText"/>
              </w:pPr>
              <w:r>
                <w:t xml:space="preserve">Note that the requirements of IPP 12 only apply to the disclosure of personal information to a foreign person or entity. It would not apply where the foreign person or entity will be held for or on behalf of the transferring agency.</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multilevel"/>
    <w:lvl w:ilvl="0">
      <w:start w:val="1"/>
      <w:numFmt w:val="lowerRoman"/>
      <w:lvlText w:val="%1."/>
      <w:pPr>
        <w:ind w:left="420" w:hanging="360"/>
      </w:pPr>
    </w:lvl>
    <w:lvl w:ilvl="1">
      <w:start w:val="1"/>
      <w:numFmt w:val="lowerRoman"/>
      <w:lvlText w:val="%2."/>
      <w:pPr>
        <w:ind w:left="1440" w:hanging="360"/>
      </w:pPr>
    </w:lvl>
    <w:lvl w:ilvl="2">
      <w:start w:val="1"/>
      <w:numFmt w:val="lowerRoman"/>
      <w:lvlText w:val="%3."/>
      <w:pPr>
        <w:ind w:left="2160" w:hanging="360"/>
      </w:pPr>
    </w:lvl>
    <w:lvl w:ilvl="3">
      <w:start w:val="1"/>
      <w:numFmt w:val="lowerRoman"/>
      <w:lvlText w:val="%4."/>
      <w:pPr>
        <w:ind w:left="2880" w:hanging="360"/>
      </w:pPr>
    </w:lvl>
    <w:lvl w:ilvl="4">
      <w:start w:val="1"/>
      <w:numFmt w:val="lowerRoman"/>
      <w:lvlText w:val="%5."/>
      <w:pPr>
        <w:ind w:left="3600" w:hanging="360"/>
      </w:pPr>
    </w:lvl>
    <w:lvl w:ilvl="5">
      <w:start w:val="1"/>
      <w:numFmt w:val="lowerRoman"/>
      <w:lvlText w:val="%6."/>
      <w:pPr>
        <w:ind w:left="4320" w:hanging="360"/>
      </w:pPr>
    </w:lvl>
    <w:lvl w:ilvl="6">
      <w:start w:val="1"/>
      <w:numFmt w:val="lowerRoman"/>
      <w:lvlText w:val="%7."/>
      <w:pPr>
        <w:ind w:left="5040" w:hanging="360"/>
      </w:pPr>
    </w:lvl>
    <w:lvl w:ilvl="7">
      <w:start w:val="1"/>
      <w:numFmt w:val="lowerRoman"/>
      <w:lvlText w:val="%8."/>
      <w:pPr>
        <w:ind w:left="5760" w:hanging="360"/>
      </w:pPr>
    </w:lvl>
    <w:lvl w:ilvl="8">
      <w:start w:val="1"/>
      <w:numFmt w:val="lowerRoman"/>
      <w:lvlText w:val="%9."/>
      <w:pPr>
        <w:ind w:left="648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3"/>
    <w:lvlOverride w:ilvl="0">
      <w:startOverride w:val="1"/>
    </w:lvlOverride>
  </w:num>
  <w:num w:numId="10">
    <w:abstractNumId w:val="15"/>
    <w:lvlOverride w:ilvl="0">
      <w:startOverride w:val="1"/>
    </w:lvlOverride>
  </w:num>
  <w:num w:numId="11">
    <w:abstractNumId w:val="9"/>
    <w:lvlOverride w:ilvl="0">
      <w:startOverride w:val="1"/>
    </w:lvlOverride>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