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Hong Kong</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[2013] 2 HKLRD 1197.</w:t>
              </w:r>
            </w:p>
            <w:p>
              <w:pPr>
                <w:pStyle w:val="BodyText"/>
              </w:pPr>
              <w:r>
                <w:rPr>
                  <w:color w:val="000000"/>
                  <w:vertAlign w:val="superscript"/>
                </w:rPr>
                <w:t xml:space="preserve">[2]</w:t>
              </w:r>
              <w:r>
                <w:rPr>
                  <w:vertAlign w:val="superscript"/>
                </w:rPr>
                <w:t xml:space="preserve"> </w:t>
              </w:r>
              <w:r>
                <w:t xml:space="preserve">   [1991] 4 All ER 481 (HL).</w:t>
              </w:r>
            </w:p>
            <w:p>
              <w:pPr>
                <w:pStyle w:val="BodyText"/>
              </w:pPr>
              <w:r>
                <w:rPr>
                  <w:color w:val="000000"/>
                  <w:vertAlign w:val="superscript"/>
                </w:rPr>
                <w:t xml:space="preserve">[3]</w:t>
              </w:r>
              <w:r>
                <w:t xml:space="preserve">    [2007] HKFLR 195.</w:t>
              </w:r>
            </w:p>
            <w:p>
              <w:pPr>
                <w:pStyle w:val="BodyText"/>
              </w:pPr>
              <w:r>
                <w:rPr>
                  <w:color w:val="000000"/>
                  <w:vertAlign w:val="superscript"/>
                </w:rPr>
                <w:t xml:space="preserve">[4]</w:t>
              </w:r>
              <w:r>
                <w:t xml:space="preserve">    [2007] 1 HKLRD 26.</w:t>
              </w:r>
            </w:p>
            <w:p>
              <w:pPr>
                <w:pStyle w:val="BodyText"/>
              </w:pPr>
              <w:r>
                <w:rPr>
                  <w:color w:val="000000"/>
                  <w:vertAlign w:val="superscript"/>
                </w:rPr>
                <w:t xml:space="preserve">[5]</w:t>
              </w:r>
              <w:r>
                <w:t xml:space="preserve">    [2014] HKFC 26; FCMC 8507/2013.</w:t>
              </w:r>
            </w:p>
            <w:p>
              <w:pPr>
                <w:pStyle w:val="BodyText"/>
              </w:pPr>
              <w:r>
                <w:rPr>
                  <w:color w:val="000000"/>
                  <w:vertAlign w:val="superscript"/>
                </w:rPr>
                <w:t xml:space="preserve">[6]</w:t>
              </w:r>
              <w:r>
                <w:t xml:space="preserve">    [2009] HKFLR 19.</w:t>
              </w:r>
            </w:p>
            <w:p>
              <w:pPr>
                <w:pStyle w:val="BodyText"/>
              </w:pPr>
              <w:r>
                <w:rPr>
                  <w:color w:val="000000"/>
                  <w:vertAlign w:val="superscript"/>
                </w:rPr>
                <w:t xml:space="preserve">[7]</w:t>
              </w:r>
              <w:r>
                <w:rPr>
                  <w:vertAlign w:val="superscript"/>
                </w:rPr>
                <w:t xml:space="preserve"> </w:t>
              </w:r>
              <w:r>
                <w:t xml:space="preserve">   [2007] 5 HKC 50.</w:t>
              </w:r>
            </w:p>
            <w:p>
              <w:pPr>
                <w:pStyle w:val="BodyText"/>
              </w:pPr>
              <w:r>
                <w:rPr>
                  <w:color w:val="000000"/>
                  <w:vertAlign w:val="superscript"/>
                </w:rPr>
                <w:t xml:space="preserve">[8]</w:t>
              </w:r>
              <w:r>
                <w:rPr>
                  <w:vertAlign w:val="superscript"/>
                </w:rPr>
                <w:t xml:space="preserve"> </w:t>
              </w:r>
              <w:r>
                <w:t xml:space="preserve">   [2010] 5 HKC 400.</w:t>
              </w:r>
            </w:p>
            <w:p>
              <w:pPr>
                <w:pStyle w:val="BodyText"/>
              </w:pPr>
              <w:r>
                <w:rPr>
                  <w:color w:val="000000"/>
                  <w:vertAlign w:val="superscript"/>
                </w:rPr>
                <w:t xml:space="preserve">[9]</w:t>
              </w:r>
              <w:r>
                <w:t xml:space="preserve">    (11 April 2013, CACC317/2012).</w:t>
              </w:r>
            </w:p>
            <w:p>
              <w:pPr>
                <w:pStyle w:val="BodyText"/>
              </w:pPr>
              <w:r>
                <w:rPr>
                  <w:color w:val="000000"/>
                  <w:vertAlign w:val="superscript"/>
                </w:rPr>
                <w:t xml:space="preserve">[10]</w:t>
              </w:r>
              <w:r>
                <w:rPr>
                  <w:vertAlign w:val="superscript"/>
                </w:rPr>
                <w:t xml:space="preserve"> </w:t>
              </w:r>
              <w:r>
                <w:t xml:space="preserve">   (14 December 1999, CAAR6/1999) [1995-2000] HKCLRT 322.</w:t>
              </w:r>
            </w:p>
            <w:p>
              <w:pPr>
                <w:pStyle w:val="BodyText"/>
              </w:pPr>
              <w:r>
                <w:rPr>
                  <w:color w:val="000000"/>
                  <w:vertAlign w:val="superscript"/>
                </w:rPr>
                <w:t xml:space="preserve">[11]</w:t>
              </w:r>
              <w:r>
                <w:t xml:space="preserve">    CAAR 11/1991.</w:t>
              </w:r>
            </w:p>
            <w:p>
              <w:pPr>
                <w:pStyle w:val="BodyText"/>
              </w:pPr>
              <w:r>
                <w:rPr>
                  <w:color w:val="000000"/>
                  <w:vertAlign w:val="superscript"/>
                </w:rPr>
                <w:t xml:space="preserve">[12]</w:t>
              </w:r>
              <w:r>
                <w:rPr>
                  <w:vertAlign w:val="superscript"/>
                </w:rPr>
                <w:t xml:space="preserve"> </w:t>
              </w:r>
              <w:r>
                <w:t xml:space="preserve">   (2 December 2013, CACC170/2013).</w:t>
              </w:r>
            </w:p>
            <w:p>
              <w:pPr>
                <w:pStyle w:val="BodyText"/>
              </w:pPr>
              <w:r>
                <w:rPr>
                  <w:color w:val="000000"/>
                  <w:vertAlign w:val="superscript"/>
                </w:rPr>
                <w:t xml:space="preserve">[13]</w:t>
              </w:r>
              <w:r>
                <w:t xml:space="preserve">    </w:t>
              </w:r>
              <w:r>
                <w:t xml:space="preserve">Sections 3, 3A, 3B of </w:t>
              </w:r>
              <w:r>
                <w:t xml:space="preserve">DCRVO.</w:t>
              </w:r>
            </w:p>
            <w:p>
              <w:pPr>
                <w:pStyle w:val="BodyText"/>
              </w:pPr>
              <w:r>
                <w:rPr>
                  <w:color w:val="000000"/>
                  <w:vertAlign w:val="superscript"/>
                </w:rPr>
                <w:t xml:space="preserve">[14]</w:t>
              </w:r>
              <w:r>
                <w:rPr>
                  <w:vertAlign w:val="superscript"/>
                </w:rPr>
                <w:t xml:space="preserve"> </w:t>
              </w:r>
              <w:r>
                <w:t xml:space="preserve">   Section 4 </w:t>
              </w:r>
              <w:r>
                <w:t xml:space="preserve">of </w:t>
              </w:r>
              <w:r>
                <w:t xml:space="preserve">DCRVO.</w:t>
              </w:r>
            </w:p>
            <w:p>
              <w:pPr>
                <w:pStyle w:val="BodyText"/>
              </w:pPr>
              <w:r>
                <w:rPr>
                  <w:color w:val="000000"/>
                  <w:vertAlign w:val="superscript"/>
                </w:rPr>
                <w:t xml:space="preserve">[15]</w:t>
              </w:r>
              <w:r>
                <w:rPr>
                  <w:vertAlign w:val="superscript"/>
                </w:rPr>
                <w:t xml:space="preserve">  </w:t>
              </w:r>
              <w:r>
                <w:t xml:space="preserve">  </w:t>
              </w:r>
              <w:r>
                <w:t xml:space="preserve">Sections 3, 3A, 3B of </w:t>
              </w:r>
              <w:r>
                <w:t xml:space="preserve">DCRVO.</w:t>
              </w:r>
            </w:p>
            <w:p>
              <w:pPr>
                <w:pStyle w:val="BodyText"/>
              </w:pPr>
              <w:r>
                <w:rPr>
                  <w:color w:val="000000"/>
                  <w:vertAlign w:val="superscript"/>
                </w:rPr>
                <w:t xml:space="preserve">[16]</w:t>
              </w:r>
              <w:r>
                <w:t xml:space="preserve">    For example, a person convicted of common assault may be liable to imprisonment of up to one year. A person convicted of murder/manslaughter may be liable for life imprisonment.</w:t>
              </w:r>
            </w:p>
            <w:p>
              <w:pPr>
                <w:pStyle w:val="BodyText"/>
              </w:pPr>
              <w:r>
                <w:rPr>
                  <w:color w:val="000000"/>
                  <w:vertAlign w:val="superscript"/>
                </w:rPr>
                <w:t xml:space="preserve">[17]</w:t>
              </w:r>
              <w:r>
                <w:t xml:space="preserve">    Concluding comments of the Committee on the Elimination of Discrimination against Women: China, (2006), Committee on the Elimination of Discrimination against Women, </w:t>
              </w:r>
              <w:hyperlink w:history="true" r:id="R2cce320806234c30">
                <w:r>
                  <w:rPr>
                    <w:rStyle w:val="Hyperlink"/>
                  </w:rPr>
                  <w:t xml:space="preserve">https://www.lwb.gov.hk/CEDAW/documents/CEDAW_2nd_comment_full_E.pdf</w:t>
                </w:r>
              </w:hyperlink>
              <w:r>
                <w:t xml:space="preserve">.</w:t>
              </w:r>
            </w:p>
            <w:p>
              <w:pPr>
                <w:pStyle w:val="BodyText"/>
              </w:pPr>
              <w:r>
                <w:rPr>
                  <w:color w:val="000000"/>
                  <w:vertAlign w:val="superscript"/>
                </w:rPr>
                <w:t xml:space="preserve">[18]</w:t>
              </w:r>
              <w:r>
                <w:t xml:space="preserve">    </w:t>
              </w:r>
              <w:r>
                <w:t xml:space="preserve">Concluding observations on the combined seventh and eighth periodic reports of China, (2014), Committee on the Elimination of Discrimination against Women, </w:t>
              </w:r>
              <w:hyperlink w:history="true" r:id="R29fbd0129f554700">
                <w:r>
                  <w:rPr>
                    <w:rStyle w:val="Hyperlink"/>
                  </w:rPr>
                  <w:t xml:space="preserve">https://www.lwb.gov.hk/CEDAW/documents/CEDAW%20Concluding%20Comments%203rd%20Hearing%20(Full).pdf</w:t>
                </w:r>
              </w:hyperlink>
              <w:r>
                <w:t xml:space="preserve">.</w:t>
              </w:r>
            </w:p>
            <w:p>
              <w:pPr>
                <w:pStyle w:val="BodyText"/>
              </w:pPr>
              <w:r>
                <w:rPr>
                  <w:color w:val="000000"/>
                  <w:vertAlign w:val="superscript"/>
                </w:rPr>
                <w:t xml:space="preserve">[19]</w:t>
              </w:r>
              <w:r>
                <w:t xml:space="preserve">    </w:t>
              </w:r>
              <w:r>
                <w:t xml:space="preserve">Policy for Prosecuting Cases Involving Domestic Violence (2009), Department of Justice, </w:t>
              </w:r>
              <w:hyperlink w:history="true" r:id="Rc8680c01fd6d4282">
                <w:r>
                  <w:rPr>
                    <w:rStyle w:val="Hyperlink"/>
                  </w:rPr>
                  <w:t xml:space="preserve">https://www.doj.gov.hk/eng/public/pubppcdv.html</w:t>
                </w:r>
              </w:hyperlink>
              <w:r>
                <w:t xml:space="preserve">.</w:t>
              </w:r>
            </w:p>
            <w:p>
              <w:pPr>
                <w:pStyle w:val="BodyText"/>
              </w:pPr>
              <w:r>
                <w:rPr>
                  <w:color w:val="000000"/>
                  <w:vertAlign w:val="superscript"/>
                </w:rPr>
                <w:t xml:space="preserve">[20]</w:t>
              </w:r>
              <w:r>
                <w:t xml:space="preserve">    </w:t>
              </w:r>
              <w:r>
                <w:t xml:space="preserve">This includes "any criminal offence which arises out of violence, threatening behaviour or physical, sexual or emotional abuse, between adults who are or have been intimate partners, or else between family members. An adult is any person aged 18 years and over, and family members include mother, father, son, daughter, brother, sister and grandparents, whether directly related, in-laws or step-family."</w:t>
              </w:r>
            </w:p>
            <w:p>
              <w:pPr>
                <w:pStyle w:val="BodyText"/>
              </w:pPr>
              <w:r>
                <w:rPr>
                  <w:color w:val="000000"/>
                  <w:vertAlign w:val="superscript"/>
                </w:rPr>
                <w:t xml:space="preserve">[21]</w:t>
              </w:r>
              <w:r>
                <w:t xml:space="preserve">    </w:t>
              </w:r>
              <w:r>
                <w:t xml:space="preserve">Procedural Guide for Handling Intimate Partner Violence Cases (Revised 2011), </w:t>
              </w:r>
              <w:hyperlink w:history="true" r:id="R26ae8906302f4e6c">
                <w:r>
                  <w:rPr>
                    <w:rStyle w:val="Hyperlink"/>
                  </w:rPr>
                  <w:t xml:space="preserve">https://www.swd.gov.hk/doc/fcw/proc_guidelines/battered_spouse/Acrobat%20Document%20(updated%20in%20August%202014).pdf</w:t>
                </w:r>
              </w:hyperlink>
              <w:r>
                <w:t xml:space="preserve">.</w:t>
              </w:r>
            </w:p>
            <w:p>
              <w:pPr>
                <w:pStyle w:val="BodyText"/>
              </w:pPr>
              <w:r>
                <w:rPr>
                  <w:color w:val="000000"/>
                  <w:vertAlign w:val="superscript"/>
                </w:rPr>
                <w:t xml:space="preserve">[22]</w:t>
              </w:r>
              <w:r>
                <w:t xml:space="preserve">    </w:t>
              </w:r>
              <w:r>
                <w:t xml:space="preserve">"Relative" is defined in Section 3A of DCRVO.</w:t>
              </w:r>
            </w:p>
            <w:p>
              <w:pPr>
                <w:pStyle w:val="BodyText"/>
              </w:pPr>
              <w:r>
                <w:rPr>
                  <w:color w:val="000000"/>
                  <w:vertAlign w:val="superscript"/>
                </w:rPr>
                <w:t xml:space="preserve">[23]</w:t>
              </w:r>
              <w:r>
                <w:t xml:space="preserve">    </w:t>
              </w:r>
              <w:r>
                <w:t xml:space="preserve">Report on Stalking (2000), the Law Reform Commission of Hong Kong, </w:t>
              </w:r>
              <w:hyperlink w:history="true" r:id="R9c3667babf64441f">
                <w:r>
                  <w:rPr>
                    <w:rStyle w:val="Hyperlink"/>
                  </w:rPr>
                  <w:t xml:space="preserve">https://www.hkreform.gov.hk/en/docs/rstalks-e.pdf</w:t>
                </w:r>
              </w:hyperlink>
              <w:r>
                <w:t xml:space="preserve">.</w:t>
              </w:r>
            </w:p>
            <w:p>
              <w:pPr>
                <w:pStyle w:val="BodyText"/>
              </w:pPr>
              <w:r>
                <w:rPr>
                  <w:color w:val="000000"/>
                  <w:vertAlign w:val="superscript"/>
                </w:rPr>
                <w:t xml:space="preserve">[24]</w:t>
              </w:r>
              <w:r>
                <w:t xml:space="preserve">    </w:t>
              </w:r>
              <w:r>
                <w:t xml:space="preserve">Section 2(5) of the Sex Discrimination Ordinance (Cap. 480). </w:t>
              </w:r>
            </w:p>
            <w:p>
              <w:pPr>
                <w:pStyle w:val="BodyText"/>
              </w:pPr>
              <w:r>
                <w:rPr>
                  <w:color w:val="000000"/>
                  <w:vertAlign w:val="superscript"/>
                </w:rPr>
                <w:t xml:space="preserve">[25]</w:t>
              </w:r>
              <w:r>
                <w:t xml:space="preserve">    </w:t>
              </w:r>
              <w:r>
                <w:t xml:space="preserve">Sections 2(1) and 2(7) of the Race Discrimination Ordinance (Cap. 602).</w:t>
              </w:r>
            </w:p>
            <w:p>
              <w:pPr>
                <w:pStyle w:val="BodyText"/>
              </w:pPr>
              <w:r>
                <w:rPr>
                  <w:color w:val="000000"/>
                  <w:vertAlign w:val="superscript"/>
                </w:rPr>
                <w:t xml:space="preserve">[26]</w:t>
              </w:r>
              <w:r>
                <w:t xml:space="preserve">    </w:t>
              </w:r>
              <w:r>
                <w:t xml:space="preserve">Sections 2(1) and 2(6) of the Disability Discrimination Ordinance (Cap. 487).</w:t>
              </w:r>
            </w:p>
            <w:p>
              <w:pPr>
                <w:pStyle w:val="BodyText"/>
              </w:pPr>
              <w:r>
                <w:rPr>
                  <w:color w:val="000000"/>
                  <w:vertAlign w:val="superscript"/>
                </w:rPr>
                <w:t xml:space="preserve">[27]</w:t>
              </w:r>
              <w:r>
                <w:t xml:space="preserve">    </w:t>
              </w:r>
              <w:r>
                <w:t xml:space="preserve">See footnote 15.</w:t>
              </w:r>
            </w:p>
            <w:p>
              <w:pPr>
                <w:pStyle w:val="BodyText"/>
              </w:pPr>
              <w:r>
                <w:rPr>
                  <w:color w:val="000000"/>
                  <w:vertAlign w:val="superscript"/>
                </w:rPr>
                <w:t xml:space="preserve">[28]</w:t>
              </w:r>
              <w:r>
                <w:rPr>
                  <w:vertAlign w:val="superscript"/>
                </w:rPr>
                <w:t xml:space="preserve"> </w:t>
              </w:r>
              <w:r>
                <w:t xml:space="preserve">   </w:t>
              </w:r>
              <w:r>
                <w:t xml:space="preserve">Section 70B of the Landlord and Tenant (Consolidation) Ordinance (Cap. 7).</w:t>
              </w:r>
            </w:p>
            <w:p>
              <w:pPr>
                <w:pStyle w:val="BodyText"/>
              </w:pPr>
              <w:r>
                <w:rPr>
                  <w:color w:val="000000"/>
                  <w:vertAlign w:val="superscript"/>
                </w:rPr>
                <w:t xml:space="preserve">[29]</w:t>
              </w:r>
              <w:r>
                <w:rPr>
                  <w:vertAlign w:val="superscript"/>
                </w:rPr>
                <w:t xml:space="preserve"> </w:t>
              </w:r>
              <w:r>
                <w:t xml:space="preserve">   </w:t>
              </w:r>
              <w:r>
                <w:t xml:space="preserve">Section 20 of the Summary Offences Ordinance (Cap. 228).</w:t>
              </w:r>
            </w:p>
            <w:p>
              <w:pPr>
                <w:pStyle w:val="BodyText"/>
              </w:pPr>
              <w:r>
                <w:rPr>
                  <w:color w:val="000000"/>
                  <w:vertAlign w:val="superscript"/>
                </w:rPr>
                <w:t xml:space="preserve">[30]</w:t>
              </w:r>
              <w:r>
                <w:t xml:space="preserve">    </w:t>
              </w:r>
              <w:r>
                <w:rPr>
                  <w:i/>
                </w:rPr>
                <w:t xml:space="preserve">Lau Tat Wai v. Yip Lai Kuen Joey</w:t>
              </w:r>
              <w:r>
                <w:t xml:space="preserve"> [2013] 2 HKLRD 1197. This leading decision has been accepted and applied in a number of recent cases, including: </w:t>
              </w:r>
              <w:r>
                <w:rPr>
                  <w:i/>
                </w:rPr>
                <w:t xml:space="preserve">Shen Xing v. Li Jun</w:t>
              </w:r>
              <w:r>
                <w:t xml:space="preserve"> [2014] HKEC 634; </w:t>
              </w:r>
              <w:r>
                <w:rPr>
                  <w:i/>
                </w:rPr>
                <w:t xml:space="preserve">Lin Man Yuan v. Kin Ming Holdings International Ltd</w:t>
              </w:r>
              <w:r>
                <w:t xml:space="preserve"> [2015] HKEC 1012; </w:t>
              </w:r>
              <w:r>
                <w:rPr>
                  <w:i/>
                </w:rPr>
                <w:t xml:space="preserve">Lam Yuk Wing v. Yu Lai Wa</w:t>
              </w:r>
              <w:r>
                <w:t xml:space="preserve"> [2015] HKEC 2777; </w:t>
              </w:r>
              <w:r>
                <w:rPr>
                  <w:i/>
                </w:rPr>
                <w:t xml:space="preserve">Law Ka Yan Thompson v. Ho Kang Wing</w:t>
              </w:r>
              <w:r>
                <w:t xml:space="preserve"> [2016] HKEC 438; </w:t>
              </w:r>
              <w:r>
                <w:rPr>
                  <w:i/>
                </w:rPr>
                <w:t xml:space="preserve">Michaels v. Citybase Property Management Ltd</w:t>
              </w:r>
              <w:r>
                <w:t xml:space="preserve"> [2017] HKEC 162; </w:t>
              </w:r>
              <w:r>
                <w:rPr>
                  <w:i/>
                </w:rPr>
                <w:t xml:space="preserve">Law Lai Kwan v. Intrend Finance Ltd</w:t>
              </w:r>
              <w:r>
                <w:t xml:space="preserve"> [2017] HKEC 1098.</w:t>
              </w:r>
            </w:p>
            <w:p>
              <w:pPr>
                <w:pStyle w:val="BodyText"/>
              </w:pPr>
              <w:r>
                <w:rPr>
                  <w:color w:val="000000"/>
                  <w:vertAlign w:val="superscript"/>
                </w:rPr>
                <w:t xml:space="preserve">[31]</w:t>
              </w:r>
              <w:r>
                <w:rPr>
                  <w:vertAlign w:val="superscript"/>
                </w:rPr>
                <w:t xml:space="preserve"> </w:t>
              </w:r>
              <w:r>
                <w:t xml:space="preserve">   </w:t>
              </w:r>
              <w:r>
                <w:t xml:space="preserve">The Victims of Crime Charter (2000), Department of Justice, </w:t>
              </w:r>
              <w:hyperlink w:history="true" r:id="R63dada0a9a004d8e">
                <w:r>
                  <w:rPr>
                    <w:rStyle w:val="Hyperlink"/>
                  </w:rPr>
                  <w:t xml:space="preserve">https://www.doj.gov.hk/en/publications/pdf/vcc_e.pdf</w:t>
                </w:r>
              </w:hyperlink>
              <w:r>
                <w:t xml:space="preserve">.</w:t>
              </w:r>
            </w:p>
            <w:p>
              <w:pPr>
                <w:pStyle w:val="BodyText"/>
              </w:pPr>
              <w:r>
                <w:rPr>
                  <w:color w:val="000000"/>
                  <w:vertAlign w:val="superscript"/>
                </w:rPr>
                <w:t xml:space="preserve">[32]</w:t>
              </w:r>
              <w:r>
                <w:rPr>
                  <w:vertAlign w:val="superscript"/>
                </w:rPr>
                <w:t xml:space="preserve"> </w:t>
              </w:r>
              <w:r>
                <w:t xml:space="preserve">   </w:t>
              </w:r>
              <w:r>
                <w:t xml:space="preserve">Hong Kong Bilingual Legal Dictionary, LexisNexis Hong Kong. </w:t>
              </w:r>
            </w:p>
            <w:p>
              <w:pPr>
                <w:pStyle w:val="BodyText"/>
              </w:pPr>
              <w:r>
                <w:rPr>
                  <w:color w:val="000000"/>
                  <w:vertAlign w:val="superscript"/>
                </w:rPr>
                <w:t xml:space="preserve">[33]</w:t>
              </w:r>
              <w:r>
                <w:rPr>
                  <w:vertAlign w:val="superscript"/>
                </w:rPr>
                <w:t xml:space="preserve">  </w:t>
              </w:r>
              <w:r>
                <w:t xml:space="preserve">  </w:t>
              </w:r>
              <w:r>
                <w:t xml:space="preserve">Procedural Guide for Handling Intimate Partner Violence Cases (Revised 2011), </w:t>
              </w:r>
              <w:hyperlink w:history="true" r:id="R719ca36cd9604143">
                <w:r>
                  <w:rPr>
                    <w:rStyle w:val="Hyperlink"/>
                  </w:rPr>
                  <w:t xml:space="preserve">https://www.swd.gov.hk/doc/fcw/proc_guidelines/battered_spouse/Acrobat%20Document%20(updated%20in%20August%202014).pdf</w:t>
                </w:r>
              </w:hyperlink>
              <w:r>
                <w:t xml:space="preserve">.</w:t>
              </w:r>
            </w:p>
            <w:p>
              <w:pPr>
                <w:pStyle w:val="BodyText"/>
              </w:pPr>
              <w:r>
                <w:rPr>
                  <w:color w:val="000000"/>
                  <w:vertAlign w:val="superscript"/>
                </w:rPr>
                <w:t xml:space="preserve">[34]</w:t>
              </w:r>
              <w:r>
                <w:t xml:space="preserve">    </w:t>
              </w:r>
              <w:r>
                <w:t xml:space="preserve">Hong Kong Bilingual Legal Dictionary states that "The whole set of facts giving rise to a legal claim which can be pursued by a legal action for judicial redress. The cause of action may be a wrongful act or the harm resulting from a wrongful act. In a cause of action, the plaintiff has the burden to prove every fact which is challenged in order to obtain judgment: </w:t>
              </w:r>
              <w:r>
                <w:rPr>
                  <w:i/>
                </w:rPr>
                <w:t xml:space="preserve">Bennett v. White</w:t>
              </w:r>
              <w:r>
                <w:t xml:space="preserve"> [1908-10] All ER Rep 704, [1910] 2 KB 643. A plaintiff must plead a reasonable cause of action. Failing which the pleading can be struck out by the court: The Rules of the High Court (Cap 4A) O 18 r 19."</w:t>
              </w:r>
            </w:p>
            <w:p>
              <w:pPr>
                <w:pStyle w:val="BodyText"/>
              </w:pPr>
              <w:r>
                <w:rPr>
                  <w:color w:val="000000"/>
                  <w:vertAlign w:val="superscript"/>
                </w:rPr>
                <w:t xml:space="preserve">[35]</w:t>
              </w:r>
              <w:r>
                <w:rPr>
                  <w:vertAlign w:val="superscript"/>
                </w:rPr>
                <w:t xml:space="preserve"> </w:t>
              </w:r>
              <w:r>
                <w:t xml:space="preserve">   </w:t>
              </w:r>
              <w:r>
                <w:t xml:space="preserve">Community Legal Information Centre Glossary &amp; Annotation, </w:t>
              </w:r>
              <w:hyperlink w:history="true" r:id="R4980bbbc25944ef3">
                <w:r>
                  <w:rPr>
                    <w:rStyle w:val="Hyperlink"/>
                  </w:rPr>
                  <w:t xml:space="preserve">https://www.clic.org.hk/glossary.html#cause_of_action</w:t>
                </w:r>
              </w:hyperlink>
              <w:r>
                <w:t xml:space="preserve">. </w:t>
              </w:r>
            </w:p>
            <w:p>
              <w:pPr>
                <w:pStyle w:val="BodyText"/>
              </w:pPr>
              <w:r>
                <w:rPr>
                  <w:color w:val="000000"/>
                  <w:vertAlign w:val="superscript"/>
                </w:rPr>
                <w:t xml:space="preserve">[36]</w:t>
              </w:r>
              <w:r>
                <w:t xml:space="preserve">    </w:t>
              </w:r>
              <w:r>
                <w:rPr>
                  <w:i/>
                </w:rPr>
                <w:t xml:space="preserve">R v. R</w:t>
              </w:r>
              <w:r>
                <w:t xml:space="preserve"> [1991] 4 All ER 481 (HL).</w:t>
              </w:r>
            </w:p>
            <w:p>
              <w:pPr>
                <w:pStyle w:val="BodyText"/>
              </w:pPr>
              <w:r>
                <w:rPr>
                  <w:color w:val="000000"/>
                  <w:vertAlign w:val="superscript"/>
                </w:rPr>
                <w:t xml:space="preserve">[37]</w:t>
              </w:r>
              <w:r>
                <w:rPr>
                  <w:vertAlign w:val="superscript"/>
                </w:rPr>
                <w:t xml:space="preserve"> </w:t>
              </w:r>
              <w:r>
                <w:t xml:space="preserve">   </w:t>
              </w:r>
              <w:r>
                <w:t xml:space="preserve">Section 118 of the CO.</w:t>
              </w:r>
            </w:p>
            <w:p>
              <w:pPr>
                <w:pStyle w:val="BodyText"/>
              </w:pPr>
              <w:r>
                <w:rPr>
                  <w:color w:val="000000"/>
                  <w:vertAlign w:val="superscript"/>
                </w:rPr>
                <w:t xml:space="preserve">[38]</w:t>
              </w:r>
              <w:r>
                <w:t xml:space="preserve">    </w:t>
              </w:r>
              <w:r>
                <w:t xml:space="preserve">Inter-departmental working group on gender recognition (June 2017) Consultation Paper: Part 1 Gender Recognition, paragraph 3.29 &lt;</w:t>
              </w:r>
              <w:hyperlink w:history="true" r:id="Rfbb6dd4e21b743a9">
                <w:r>
                  <w:rPr>
                    <w:rStyle w:val="Hyperlink"/>
                  </w:rPr>
                  <w:t xml:space="preserve">https://www.legco.gov.hk/yr16-17/english/panels/ajls/papers/ajls20170718-cppr20170626-e.pdf</w:t>
                </w:r>
              </w:hyperlink>
              <w:r>
                <w:t xml:space="preserve"> &gt;.</w:t>
              </w:r>
            </w:p>
            <w:p>
              <w:pPr>
                <w:pStyle w:val="BodyText"/>
              </w:pPr>
              <w:r>
                <w:rPr>
                  <w:color w:val="000000"/>
                  <w:vertAlign w:val="superscript"/>
                </w:rPr>
                <w:t xml:space="preserve">[39]</w:t>
              </w:r>
              <w:r>
                <w:rPr>
                  <w:vertAlign w:val="superscript"/>
                </w:rPr>
                <w:t xml:space="preserve"> </w:t>
              </w:r>
              <w:r>
                <w:t xml:space="preserve">   </w:t>
              </w:r>
              <w:r>
                <w:rPr>
                  <w:i/>
                </w:rPr>
                <w:t xml:space="preserve">P v C</w:t>
              </w:r>
              <w:r>
                <w:t xml:space="preserve"> [2007] HKFLR 195. See Case 1 in </w:t>
              </w:r>
              <w:r>
                <w:rPr>
                  <w:b/>
                </w:rPr>
                <w:t xml:space="preserve">Appendix A</w:t>
              </w:r>
              <w:r>
                <w:t xml:space="preserve">.</w:t>
              </w:r>
            </w:p>
            <w:p>
              <w:pPr>
                <w:pStyle w:val="BodyText"/>
              </w:pPr>
              <w:r>
                <w:rPr>
                  <w:color w:val="000000"/>
                  <w:vertAlign w:val="superscript"/>
                </w:rPr>
                <w:t xml:space="preserve">[40]</w:t>
              </w:r>
              <w:r>
                <w:t xml:space="preserve">    </w:t>
              </w:r>
              <w:r>
                <w:rPr>
                  <w:i/>
                </w:rPr>
                <w:t xml:space="preserve">Davis v. Johnson</w:t>
              </w:r>
              <w:r>
                <w:t xml:space="preserve"> [1979] AC 264. (quoted in paragraph 22 of </w:t>
              </w:r>
              <w:r>
                <w:rPr>
                  <w:i/>
                </w:rPr>
                <w:t xml:space="preserve">P v C</w:t>
              </w:r>
              <w:r>
                <w:t xml:space="preserve">).</w:t>
              </w:r>
            </w:p>
            <w:p>
              <w:pPr>
                <w:pStyle w:val="BodyText"/>
              </w:pPr>
              <w:r>
                <w:rPr>
                  <w:color w:val="000000"/>
                  <w:vertAlign w:val="superscript"/>
                </w:rPr>
                <w:t xml:space="preserve">[41]</w:t>
              </w:r>
              <w:r>
                <w:t xml:space="preserve">    </w:t>
              </w:r>
              <w:r>
                <w:rPr>
                  <w:i/>
                </w:rPr>
                <w:t xml:space="preserve">Horner v. Horner</w:t>
              </w:r>
              <w:r>
                <w:t xml:space="preserve"> [1982] Fam 90. (quoted in paragraph 22 of </w:t>
              </w:r>
              <w:r>
                <w:rPr>
                  <w:i/>
                </w:rPr>
                <w:t xml:space="preserve">P v C</w:t>
              </w:r>
              <w:r>
                <w:t xml:space="preserve">).</w:t>
              </w:r>
            </w:p>
            <w:p>
              <w:pPr>
                <w:pStyle w:val="BodyText"/>
              </w:pPr>
              <w:r>
                <w:rPr>
                  <w:color w:val="000000"/>
                  <w:vertAlign w:val="superscript"/>
                </w:rPr>
                <w:t xml:space="preserve">[42]</w:t>
              </w:r>
              <w:r>
                <w:t xml:space="preserve">    </w:t>
              </w:r>
              <w:r>
                <w:rPr>
                  <w:i/>
                </w:rPr>
                <w:t xml:space="preserve">Chan Chun Hon v. Chan Lam Lai Bing</w:t>
              </w:r>
              <w:r>
                <w:t xml:space="preserve"> [1994] HKLY 629.</w:t>
              </w:r>
            </w:p>
            <w:p>
              <w:pPr>
                <w:pStyle w:val="BodyText"/>
              </w:pPr>
              <w:r>
                <w:rPr>
                  <w:color w:val="000000"/>
                  <w:vertAlign w:val="superscript"/>
                </w:rPr>
                <w:t xml:space="preserve">[43]</w:t>
              </w:r>
              <w:r>
                <w:t xml:space="preserve">    </w:t>
              </w:r>
              <w:r>
                <w:rPr>
                  <w:i/>
                </w:rPr>
                <w:t xml:space="preserve">L v. T</w:t>
              </w:r>
              <w:r>
                <w:t xml:space="preserve"> FCMC 3039/1995.</w:t>
              </w:r>
            </w:p>
            <w:p>
              <w:pPr>
                <w:pStyle w:val="BodyText"/>
              </w:pPr>
              <w:r>
                <w:rPr>
                  <w:color w:val="000000"/>
                  <w:vertAlign w:val="superscript"/>
                </w:rPr>
                <w:t xml:space="preserve">[44]</w:t>
              </w:r>
              <w:r>
                <w:rPr>
                  <w:vertAlign w:val="superscript"/>
                </w:rPr>
                <w:t xml:space="preserve"> </w:t>
              </w:r>
              <w:r>
                <w:t xml:space="preserve">   </w:t>
              </w:r>
              <w:r>
                <w:rPr>
                  <w:i/>
                </w:rPr>
                <w:t xml:space="preserve">L v. N</w:t>
              </w:r>
              <w:r>
                <w:t xml:space="preserve"> [2003] HKEC 272.</w:t>
              </w:r>
            </w:p>
            <w:p>
              <w:pPr>
                <w:pStyle w:val="BodyText"/>
              </w:pPr>
              <w:r>
                <w:rPr>
                  <w:color w:val="000000"/>
                  <w:vertAlign w:val="superscript"/>
                </w:rPr>
                <w:t xml:space="preserve">[45]</w:t>
              </w:r>
              <w:r>
                <w:t xml:space="preserve">    </w:t>
              </w:r>
              <w:r>
                <w:t xml:space="preserve">Section 2 of DCRVO.</w:t>
              </w:r>
            </w:p>
            <w:p>
              <w:pPr>
                <w:pStyle w:val="BodyText"/>
              </w:pPr>
              <w:r>
                <w:rPr>
                  <w:color w:val="000000"/>
                  <w:vertAlign w:val="superscript"/>
                </w:rPr>
                <w:t xml:space="preserve">[46]</w:t>
              </w:r>
              <w:r>
                <w:rPr>
                  <w:vertAlign w:val="superscript"/>
                </w:rPr>
                <w:t xml:space="preserve"> </w:t>
              </w:r>
              <w:r>
                <w:t xml:space="preserve">   </w:t>
              </w:r>
              <w:r>
                <w:t xml:space="preserve">Sections 2, 3, 3A and 3B of DCRVO.</w:t>
              </w:r>
            </w:p>
            <w:p>
              <w:pPr>
                <w:pStyle w:val="BodyText"/>
              </w:pPr>
              <w:r>
                <w:rPr>
                  <w:color w:val="000000"/>
                  <w:vertAlign w:val="superscript"/>
                </w:rPr>
                <w:t xml:space="preserve">[47]</w:t>
              </w:r>
              <w:r>
                <w:rPr>
                  <w:vertAlign w:val="superscript"/>
                </w:rPr>
                <w:t xml:space="preserve"> </w:t>
              </w:r>
              <w:r>
                <w:t xml:space="preserve">   </w:t>
              </w:r>
              <w:r>
                <w:t xml:space="preserve">[2020] HKCU 1743.</w:t>
              </w:r>
            </w:p>
            <w:p>
              <w:pPr>
                <w:pStyle w:val="BodyText"/>
              </w:pPr>
              <w:r>
                <w:rPr>
                  <w:color w:val="000000"/>
                  <w:vertAlign w:val="superscript"/>
                </w:rPr>
                <w:t xml:space="preserve">[48]</w:t>
              </w:r>
              <w:r>
                <w:rPr>
                  <w:vertAlign w:val="superscript"/>
                </w:rPr>
                <w:t xml:space="preserve">  </w:t>
              </w:r>
              <w:r>
                <w:t xml:space="preserve">  </w:t>
              </w:r>
              <w:r>
                <w:t xml:space="preserve">Annotated Ordinance of DCRVO, paragraph 2.07.</w:t>
              </w:r>
            </w:p>
            <w:p>
              <w:pPr>
                <w:pStyle w:val="BodyText"/>
              </w:pPr>
              <w:r>
                <w:rPr>
                  <w:color w:val="000000"/>
                  <w:vertAlign w:val="superscript"/>
                </w:rPr>
                <w:t xml:space="preserve">[49]</w:t>
              </w:r>
              <w:r>
                <w:rPr>
                  <w:vertAlign w:val="superscript"/>
                </w:rPr>
                <w:t xml:space="preserve"> </w:t>
              </w:r>
              <w:r>
                <w:t xml:space="preserve">   </w:t>
              </w:r>
              <w:r>
                <w:t xml:space="preserve">Section 4 of the Marriage Reform Ordinance (Cap. 178).</w:t>
              </w:r>
            </w:p>
            <w:p>
              <w:pPr>
                <w:pStyle w:val="BodyText"/>
              </w:pPr>
              <w:r>
                <w:rPr>
                  <w:color w:val="000000"/>
                  <w:vertAlign w:val="superscript"/>
                </w:rPr>
                <w:t xml:space="preserve">[50]</w:t>
              </w:r>
              <w:r>
                <w:t xml:space="preserve">    </w:t>
              </w:r>
              <w:r>
                <w:t xml:space="preserve">Procedural Guide for Handling Intimate Partner Violence Cases (Revised 2011), </w:t>
              </w:r>
              <w:hyperlink w:history="true" r:id="R5e85de3f724a4f44">
                <w:r>
                  <w:rPr>
                    <w:rStyle w:val="Hyperlink"/>
                  </w:rPr>
                  <w:t xml:space="preserve">https://www.swd.gov.hk/doc/fcw/proc_guidelines/battered_spouse/Acrobat%20Document%20(updated%20in%20August%202014).pdf</w:t>
                </w:r>
              </w:hyperlink>
              <w:r>
                <w:t xml:space="preserve">.</w:t>
              </w:r>
            </w:p>
            <w:p>
              <w:pPr>
                <w:pStyle w:val="BodyText"/>
              </w:pPr>
              <w:r>
                <w:rPr>
                  <w:color w:val="000000"/>
                  <w:vertAlign w:val="superscript"/>
                </w:rPr>
                <w:t xml:space="preserve">[51]</w:t>
              </w:r>
              <w:r>
                <w:rPr>
                  <w:vertAlign w:val="superscript"/>
                </w:rPr>
                <w:t xml:space="preserve">  </w:t>
              </w:r>
              <w:r>
                <w:t xml:space="preserve">  </w:t>
              </w:r>
              <w:r>
                <w:t xml:space="preserve">Protecting Children from Maltreatment – Procedural Guide for Multi-disciplinary Co-operation (Revised 2020), </w:t>
              </w:r>
              <w:hyperlink w:history="true" r:id="R6d74e2f2b84e4e09">
                <w:r>
                  <w:rPr>
                    <w:rStyle w:val="Hyperlink"/>
                  </w:rPr>
                  <w:t xml:space="preserve">https://www.swd.gov.hk/storage/asset/section/1447/en/Procedural_Guide_Core_Procedures_(Revised_2020)_Eng_12May2020.pdf</w:t>
                </w:r>
              </w:hyperlink>
              <w:r>
                <w:t xml:space="preserve">.</w:t>
              </w:r>
            </w:p>
            <w:p>
              <w:pPr>
                <w:pStyle w:val="BodyText"/>
              </w:pPr>
              <w:r>
                <w:rPr>
                  <w:color w:val="000000"/>
                  <w:vertAlign w:val="superscript"/>
                </w:rPr>
                <w:t xml:space="preserve">[52]</w:t>
              </w:r>
              <w:r>
                <w:rPr>
                  <w:vertAlign w:val="superscript"/>
                </w:rPr>
                <w:t xml:space="preserve"> </w:t>
              </w:r>
              <w:r>
                <w:t xml:space="preserve">   </w:t>
              </w:r>
              <w:r>
                <w:t xml:space="preserve">Procedural Guidelines for Handling Elder Abuse Cases (Revised 2019), </w:t>
              </w:r>
              <w:hyperlink w:history="true" r:id="R146d72bbceaf423f">
                <w:r>
                  <w:rPr>
                    <w:rStyle w:val="Hyperlink"/>
                  </w:rPr>
                  <w:t xml:space="preserve">https://www.swd.gov.hk/storage/asset/section/3119/en/Procedural_Guidelines_for_Handling_Elder_Abuse_Cases_(Revised_2019)_ch_20200901.pdf</w:t>
                </w:r>
              </w:hyperlink>
              <w:r>
                <w:t xml:space="preserve">.</w:t>
              </w:r>
            </w:p>
            <w:p>
              <w:pPr>
                <w:pStyle w:val="BodyText"/>
              </w:pPr>
              <w:r>
                <w:rPr>
                  <w:color w:val="000000"/>
                  <w:vertAlign w:val="superscript"/>
                </w:rPr>
                <w:t xml:space="preserve">[53]</w:t>
              </w:r>
              <w:r>
                <w:t xml:space="preserve">    </w:t>
              </w:r>
              <w:r>
                <w:t xml:space="preserve">Section 3A of DCRVO.</w:t>
              </w:r>
            </w:p>
            <w:p>
              <w:pPr>
                <w:pStyle w:val="BodyText"/>
              </w:pPr>
              <w:r>
                <w:rPr>
                  <w:color w:val="000000"/>
                  <w:vertAlign w:val="superscript"/>
                </w:rPr>
                <w:t xml:space="preserve">[54]</w:t>
              </w:r>
              <w:r>
                <w:t xml:space="preserve">    </w:t>
              </w:r>
              <w:r>
                <w:t xml:space="preserve">[2015] HKEC 31.</w:t>
              </w:r>
            </w:p>
            <w:p>
              <w:pPr>
                <w:pStyle w:val="BodyText"/>
              </w:pPr>
              <w:r>
                <w:rPr>
                  <w:color w:val="000000"/>
                  <w:vertAlign w:val="superscript"/>
                </w:rPr>
                <w:t xml:space="preserve">[55]</w:t>
              </w:r>
              <w:r>
                <w:t xml:space="preserve">    </w:t>
              </w:r>
              <w:r>
                <w:t xml:space="preserve">Halsbury's Laws of Hong Kong at 90.0834 and 125.238. Section 21L of the High Court Ordinance (Cap. 4) (HCO) gives the CFI a very wide statutory jurisdiction to grant injunctions where the justice of the case requires. Section 52(1) of the District Court Ordinance (Cap. 336) (DCO) gives the DC wide powers to grant injunctions with certain limitations e.g., a monetary limit of HKD 3 million.</w:t>
              </w:r>
            </w:p>
            <w:p>
              <w:pPr>
                <w:pStyle w:val="BodyText"/>
              </w:pPr>
              <w:r>
                <w:rPr>
                  <w:color w:val="000000"/>
                  <w:vertAlign w:val="superscript"/>
                </w:rPr>
                <w:t xml:space="preserve">[56]</w:t>
              </w:r>
              <w:r>
                <w:rPr>
                  <w:vertAlign w:val="superscript"/>
                </w:rPr>
                <w:t xml:space="preserve"> </w:t>
              </w:r>
              <w:r>
                <w:t xml:space="preserve">   </w:t>
              </w:r>
              <w:r>
                <w:t xml:space="preserve">Sections 3, 3A and 3B of DCRVO. </w:t>
              </w:r>
            </w:p>
            <w:p>
              <w:pPr>
                <w:pStyle w:val="BodyText"/>
              </w:pPr>
              <w:r>
                <w:rPr>
                  <w:color w:val="000000"/>
                  <w:vertAlign w:val="superscript"/>
                </w:rPr>
                <w:t xml:space="preserve">[57]</w:t>
              </w:r>
              <w:r>
                <w:t xml:space="preserve">    </w:t>
              </w:r>
              <w:r>
                <w:t xml:space="preserve">Section 5 of DCRVO.</w:t>
              </w:r>
            </w:p>
            <w:p>
              <w:pPr>
                <w:pStyle w:val="BodyText"/>
              </w:pPr>
              <w:r>
                <w:rPr>
                  <w:color w:val="000000"/>
                  <w:vertAlign w:val="superscript"/>
                </w:rPr>
                <w:t xml:space="preserve">[58]</w:t>
              </w:r>
              <w:r>
                <w:rPr>
                  <w:vertAlign w:val="superscript"/>
                </w:rPr>
                <w:t xml:space="preserve"> </w:t>
              </w:r>
              <w:r>
                <w:t xml:space="preserve">   </w:t>
              </w:r>
              <w:r>
                <w:t xml:space="preserve">Sections 3, 3A and 3B of DCRVO.</w:t>
              </w:r>
            </w:p>
            <w:p>
              <w:pPr>
                <w:pStyle w:val="BodyText"/>
              </w:pPr>
              <w:r>
                <w:rPr>
                  <w:color w:val="000000"/>
                  <w:vertAlign w:val="superscript"/>
                </w:rPr>
                <w:t xml:space="preserve">[59]</w:t>
              </w:r>
              <w:r>
                <w:rPr>
                  <w:vertAlign w:val="superscript"/>
                </w:rPr>
                <w:t xml:space="preserve"> </w:t>
              </w:r>
              <w:r>
                <w:t xml:space="preserve">   </w:t>
              </w:r>
              <w:r>
                <w:t xml:space="preserve">Sections 3B(2) of DCRVO.</w:t>
              </w:r>
            </w:p>
            <w:p>
              <w:pPr>
                <w:pStyle w:val="BodyText"/>
              </w:pPr>
              <w:r>
                <w:rPr>
                  <w:color w:val="000000"/>
                  <w:vertAlign w:val="superscript"/>
                </w:rPr>
                <w:t xml:space="preserve">[60]</w:t>
              </w:r>
              <w:r>
                <w:rPr>
                  <w:vertAlign w:val="superscript"/>
                </w:rPr>
                <w:t xml:space="preserve"> </w:t>
              </w:r>
              <w:r>
                <w:t xml:space="preserve">   </w:t>
              </w:r>
              <w:r>
                <w:t xml:space="preserve">An applicant may do so if the court grants an injunction containing an ouster order that concerns a minor, and at the time when the court determines the application, there is in force (i) an order which grants custody of the minor to the abuser; or (ii) an order that allows the abuser to have access to the minor.</w:t>
              </w:r>
            </w:p>
            <w:p>
              <w:pPr>
                <w:pStyle w:val="BodyText"/>
              </w:pPr>
              <w:r>
                <w:rPr>
                  <w:color w:val="000000"/>
                  <w:vertAlign w:val="superscript"/>
                </w:rPr>
                <w:t xml:space="preserve">[61]</w:t>
              </w:r>
              <w:r>
                <w:rPr>
                  <w:vertAlign w:val="superscript"/>
                </w:rPr>
                <w:t xml:space="preserve"> </w:t>
              </w:r>
              <w:r>
                <w:t xml:space="preserve">   </w:t>
              </w:r>
              <w:r>
                <w:t xml:space="preserve">Section 7A of DCRVO.</w:t>
              </w:r>
            </w:p>
            <w:p>
              <w:pPr>
                <w:pStyle w:val="BodyText"/>
              </w:pPr>
              <w:r>
                <w:rPr>
                  <w:color w:val="000000"/>
                  <w:vertAlign w:val="superscript"/>
                </w:rPr>
                <w:t xml:space="preserve">[62]</w:t>
              </w:r>
              <w:r>
                <w:t xml:space="preserve">    </w:t>
              </w:r>
              <w:r>
                <w:t xml:space="preserve">Protection of Child and Juvenile Ordinance (Cap. 213) (PCJO).</w:t>
              </w:r>
            </w:p>
            <w:p>
              <w:pPr>
                <w:pStyle w:val="BodyText"/>
              </w:pPr>
              <w:r>
                <w:rPr>
                  <w:color w:val="000000"/>
                  <w:vertAlign w:val="superscript"/>
                </w:rPr>
                <w:t xml:space="preserve">[63]</w:t>
              </w:r>
              <w:r>
                <w:t xml:space="preserve">    </w:t>
              </w:r>
              <w:r>
                <w:t xml:space="preserve">"</w:t>
              </w:r>
              <w:r>
                <w:t xml:space="preserve">Child" refers to a person under the age of 14 while "juvenile" means a person who is 14 years of age or upwards and under the age of 18 (Section 2 of PCJO).</w:t>
              </w:r>
            </w:p>
            <w:p>
              <w:pPr>
                <w:pStyle w:val="BodyText"/>
              </w:pPr>
              <w:r>
                <w:rPr>
                  <w:color w:val="000000"/>
                  <w:vertAlign w:val="superscript"/>
                </w:rPr>
                <w:t xml:space="preserve">[64]</w:t>
              </w:r>
              <w:r>
                <w:t xml:space="preserve">    </w:t>
              </w:r>
              <w:r>
                <w:t xml:space="preserve">Section 34(1)</w:t>
              </w:r>
              <w:r>
                <w:t xml:space="preserve"> of</w:t>
              </w:r>
              <w:r>
                <w:t xml:space="preserve"> PCJO.</w:t>
              </w:r>
            </w:p>
            <w:p>
              <w:pPr>
                <w:pStyle w:val="BodyText"/>
              </w:pPr>
              <w:r>
                <w:rPr>
                  <w:color w:val="000000"/>
                  <w:vertAlign w:val="superscript"/>
                </w:rPr>
                <w:t xml:space="preserve">[65]</w:t>
              </w:r>
              <w:r>
                <w:t xml:space="preserve">    </w:t>
              </w:r>
              <w:r>
                <w:t xml:space="preserve">Section 34(4)</w:t>
              </w:r>
              <w:r>
                <w:t xml:space="preserve"> of</w:t>
              </w:r>
              <w:r>
                <w:t xml:space="preserve"> PCJO.</w:t>
              </w:r>
            </w:p>
            <w:p>
              <w:pPr>
                <w:pStyle w:val="BodyText"/>
              </w:pPr>
              <w:r>
                <w:rPr>
                  <w:color w:val="000000"/>
                  <w:vertAlign w:val="superscript"/>
                </w:rPr>
                <w:t xml:space="preserve">[66]</w:t>
              </w:r>
              <w:r>
                <w:rPr>
                  <w:vertAlign w:val="superscript"/>
                </w:rPr>
                <w:t xml:space="preserve"> </w:t>
              </w:r>
              <w:r>
                <w:t xml:space="preserve">   </w:t>
              </w:r>
              <w:r>
                <w:t xml:space="preserve">Subject to the limitations under Section 52(1) of DCO.</w:t>
              </w:r>
            </w:p>
            <w:p>
              <w:pPr>
                <w:pStyle w:val="BodyText"/>
              </w:pPr>
              <w:r>
                <w:rPr>
                  <w:color w:val="000000"/>
                  <w:vertAlign w:val="superscript"/>
                </w:rPr>
                <w:t xml:space="preserve">[67]</w:t>
              </w:r>
              <w:r>
                <w:rPr>
                  <w:vertAlign w:val="superscript"/>
                </w:rPr>
                <w:t xml:space="preserve"> </w:t>
              </w:r>
              <w:r>
                <w:t xml:space="preserve">   </w:t>
              </w:r>
              <w:r>
                <w:t xml:space="preserve">Halsbury's Laws of Hong Kong at 90.0834 and 125.238.</w:t>
              </w:r>
            </w:p>
            <w:p>
              <w:pPr>
                <w:pStyle w:val="BodyText"/>
              </w:pPr>
              <w:r>
                <w:rPr>
                  <w:color w:val="000000"/>
                  <w:vertAlign w:val="superscript"/>
                </w:rPr>
                <w:t xml:space="preserve">[68]</w:t>
              </w:r>
              <w:r>
                <w:t xml:space="preserve">    </w:t>
              </w:r>
              <w:r>
                <w:t xml:space="preserve">Sections 3(1) and 3B(1)</w:t>
              </w:r>
              <w:r>
                <w:t xml:space="preserve"> of</w:t>
              </w:r>
              <w:r>
                <w:t xml:space="preserve"> DCRVO.</w:t>
              </w:r>
            </w:p>
            <w:p>
              <w:pPr>
                <w:pStyle w:val="BodyText"/>
              </w:pPr>
              <w:r>
                <w:rPr>
                  <w:color w:val="000000"/>
                  <w:vertAlign w:val="superscript"/>
                </w:rPr>
                <w:t xml:space="preserve">[69]</w:t>
              </w:r>
              <w:r>
                <w:rPr>
                  <w:vertAlign w:val="superscript"/>
                </w:rPr>
                <w:t xml:space="preserve"> </w:t>
              </w:r>
              <w:r>
                <w:t xml:space="preserve">   </w:t>
              </w:r>
              <w:r>
                <w:t xml:space="preserve">Section 3A(3)</w:t>
              </w:r>
              <w:r>
                <w:t xml:space="preserve"> of</w:t>
              </w:r>
              <w:r>
                <w:t xml:space="preserve"> DCRVO.</w:t>
              </w:r>
            </w:p>
            <w:p>
              <w:pPr>
                <w:pStyle w:val="BodyText"/>
              </w:pPr>
              <w:r>
                <w:rPr>
                  <w:color w:val="000000"/>
                  <w:vertAlign w:val="superscript"/>
                </w:rPr>
                <w:t xml:space="preserve">[70]</w:t>
              </w:r>
              <w:r>
                <w:rPr>
                  <w:vertAlign w:val="superscript"/>
                </w:rPr>
                <w:t xml:space="preserve"> </w:t>
              </w:r>
              <w:r>
                <w:t xml:space="preserve">   </w:t>
              </w:r>
              <w:r>
                <w:t xml:space="preserve">Bills Committee on Domestic Violence (Amendment) Bill 2007 Supplementary information (LC Paper No. CB(2)677/07-08(01)).</w:t>
              </w:r>
            </w:p>
            <w:p>
              <w:pPr>
                <w:pStyle w:val="BodyText"/>
              </w:pPr>
              <w:r>
                <w:rPr>
                  <w:color w:val="000000"/>
                  <w:vertAlign w:val="superscript"/>
                </w:rPr>
                <w:t xml:space="preserve">[71]</w:t>
              </w:r>
              <w:r>
                <w:t xml:space="preserve">    </w:t>
              </w:r>
              <w:r>
                <w:t xml:space="preserve">For example, the applications were made on an ex-parte basis in </w:t>
              </w:r>
              <w:r>
                <w:rPr>
                  <w:i/>
                </w:rPr>
                <w:t xml:space="preserve">L v. K</w:t>
              </w:r>
              <w:r>
                <w:t xml:space="preserve"> (2014) FCMP 230/2014 and </w:t>
              </w:r>
              <w:r>
                <w:rPr>
                  <w:i/>
                </w:rPr>
                <w:t xml:space="preserve">YLS v. TL</w:t>
              </w:r>
              <w:r>
                <w:t xml:space="preserve"> (Custody and Domestic Violence) [2009] HKFLR 19.</w:t>
              </w:r>
            </w:p>
            <w:p>
              <w:pPr>
                <w:pStyle w:val="BodyText"/>
              </w:pPr>
              <w:r>
                <w:rPr>
                  <w:color w:val="000000"/>
                  <w:vertAlign w:val="superscript"/>
                </w:rPr>
                <w:t xml:space="preserve">[72]</w:t>
              </w:r>
              <w:r>
                <w:rPr>
                  <w:vertAlign w:val="superscript"/>
                </w:rPr>
                <w:t xml:space="preserve"> </w:t>
              </w:r>
              <w:r>
                <w:t xml:space="preserve">   </w:t>
              </w:r>
              <w:r>
                <w:t xml:space="preserve">Sections 7 and 7A</w:t>
              </w:r>
              <w:r>
                <w:t xml:space="preserve"> of</w:t>
              </w:r>
              <w:r>
                <w:t xml:space="preserve"> DCRVO and Section 34C</w:t>
              </w:r>
              <w:r>
                <w:t xml:space="preserve"> of</w:t>
              </w:r>
              <w:r>
                <w:t xml:space="preserve"> PCJO.</w:t>
              </w:r>
            </w:p>
            <w:p>
              <w:pPr>
                <w:pStyle w:val="BodyText"/>
              </w:pPr>
              <w:r>
                <w:rPr>
                  <w:color w:val="000000"/>
                  <w:vertAlign w:val="superscript"/>
                </w:rPr>
                <w:t xml:space="preserve">[73]</w:t>
              </w:r>
              <w:r>
                <w:rPr>
                  <w:vertAlign w:val="superscript"/>
                </w:rPr>
                <w:t xml:space="preserve">  </w:t>
              </w:r>
              <w:r>
                <w:t xml:space="preserve">  </w:t>
              </w:r>
              <w:r>
                <w:t xml:space="preserve">How to Apply for Injunctions under the Domestic and Cohabitation Relationships Violence Ordinance issued by the Hong Kong Judiciary &lt;</w:t>
              </w:r>
              <w:hyperlink w:history="true" r:id="R4eef142ba0fb4afa">
                <w:r>
                  <w:rPr>
                    <w:rStyle w:val="Hyperlink"/>
                  </w:rPr>
                  <w:t xml:space="preserve">https://www.judiciary.hk/en/court_services_facilities/dov.html</w:t>
                </w:r>
              </w:hyperlink>
              <w:r>
                <w:t xml:space="preserve">&gt; (last accessed 26 November 2020).</w:t>
              </w:r>
            </w:p>
            <w:p>
              <w:pPr>
                <w:pStyle w:val="BodyText"/>
              </w:pPr>
              <w:r>
                <w:rPr>
                  <w:color w:val="000000"/>
                  <w:vertAlign w:val="superscript"/>
                </w:rPr>
                <w:t xml:space="preserve">[74]</w:t>
              </w:r>
              <w:r>
                <w:t xml:space="preserve">    </w:t>
              </w:r>
              <w:r>
                <w:rPr>
                  <w:i/>
                </w:rPr>
                <w:t xml:space="preserve">Luk Suet Shi Cissy v. Woo Chin Man</w:t>
              </w:r>
              <w:r>
                <w:t xml:space="preserve"> [1999] HKCU 115.</w:t>
              </w:r>
            </w:p>
            <w:p>
              <w:pPr>
                <w:pStyle w:val="BodyText"/>
              </w:pPr>
              <w:r>
                <w:rPr>
                  <w:color w:val="000000"/>
                  <w:vertAlign w:val="superscript"/>
                </w:rPr>
                <w:t xml:space="preserve">[75]</w:t>
              </w:r>
              <w:r>
                <w:t xml:space="preserve">    </w:t>
              </w:r>
              <w:r>
                <w:t xml:space="preserve">Subject to the limitations under Section 52(1) of DCO.</w:t>
              </w:r>
            </w:p>
            <w:p>
              <w:pPr>
                <w:pStyle w:val="BodyText"/>
              </w:pPr>
              <w:r>
                <w:rPr>
                  <w:color w:val="000000"/>
                  <w:vertAlign w:val="superscript"/>
                </w:rPr>
                <w:t xml:space="preserve">[76]</w:t>
              </w:r>
              <w:r>
                <w:t xml:space="preserve">    </w:t>
              </w:r>
              <w:r>
                <w:rPr>
                  <w:i/>
                </w:rPr>
                <w:t xml:space="preserve">YLS v. TL</w:t>
              </w:r>
              <w:r>
                <w:t xml:space="preserve"> [2009] HKCU 28</w:t>
              </w:r>
              <w:r>
                <w:t xml:space="preserve">. See Case 4 of </w:t>
              </w:r>
              <w:r>
                <w:rPr>
                  <w:b/>
                </w:rPr>
                <w:t xml:space="preserve">Appendix A</w:t>
              </w:r>
              <w:r>
                <w:t xml:space="preserve">.</w:t>
              </w:r>
            </w:p>
            <w:p>
              <w:pPr>
                <w:pStyle w:val="BodyText"/>
              </w:pPr>
              <w:r>
                <w:rPr>
                  <w:color w:val="000000"/>
                  <w:vertAlign w:val="superscript"/>
                </w:rPr>
                <w:t xml:space="preserve">[77]</w:t>
              </w:r>
              <w:r>
                <w:t xml:space="preserve">    </w:t>
              </w:r>
              <w:r>
                <w:t xml:space="preserve">Sections 6 and 7 </w:t>
              </w:r>
              <w:r>
                <w:t xml:space="preserve">of</w:t>
              </w:r>
              <w:r>
                <w:t xml:space="preserve"> DCRVO.</w:t>
              </w:r>
            </w:p>
            <w:p>
              <w:pPr>
                <w:pStyle w:val="BodyText"/>
              </w:pPr>
              <w:r>
                <w:rPr>
                  <w:color w:val="000000"/>
                  <w:vertAlign w:val="superscript"/>
                </w:rPr>
                <w:t xml:space="preserve">[78]</w:t>
              </w:r>
              <w:r>
                <w:rPr>
                  <w:vertAlign w:val="superscript"/>
                </w:rPr>
                <w:t xml:space="preserve">  </w:t>
              </w:r>
              <w:r>
                <w:t xml:space="preserve">  </w:t>
              </w:r>
              <w:r>
                <w:t xml:space="preserve">Section 34(1)</w:t>
              </w:r>
              <w:r>
                <w:t xml:space="preserve"> of</w:t>
              </w:r>
              <w:r>
                <w:t xml:space="preserve"> PCJO.</w:t>
              </w:r>
            </w:p>
            <w:p>
              <w:pPr>
                <w:pStyle w:val="BodyText"/>
              </w:pPr>
              <w:r>
                <w:rPr>
                  <w:color w:val="000000"/>
                  <w:vertAlign w:val="superscript"/>
                </w:rPr>
                <w:t xml:space="preserve">[79]</w:t>
              </w:r>
              <w:r>
                <w:t xml:space="preserve">    </w:t>
              </w:r>
              <w:r>
                <w:t xml:space="preserve">"</w:t>
              </w:r>
              <w:r>
                <w:t xml:space="preserve">How to Apply for Injunctions Under the Domestic and Cohabitation Relationships Violence Ordinance (Cap 189)" </w:t>
              </w:r>
              <w:hyperlink w:history="true" r:id="Rf0c62a2775ae4bc0">
                <w:r>
                  <w:rPr>
                    <w:rStyle w:val="Hyperlink"/>
                  </w:rPr>
                  <w:t xml:space="preserve">https://www.judiciary.hk/en/court_services_facilities/dov.html#9</w:t>
                </w:r>
              </w:hyperlink>
              <w:r>
                <w:t xml:space="preserve">.</w:t>
              </w:r>
            </w:p>
            <w:p>
              <w:pPr>
                <w:pStyle w:val="BodyText"/>
              </w:pPr>
              <w:r>
                <w:rPr>
                  <w:color w:val="000000"/>
                  <w:vertAlign w:val="superscript"/>
                </w:rPr>
                <w:t xml:space="preserve">[80]</w:t>
              </w:r>
              <w:r>
                <w:rPr>
                  <w:vertAlign w:val="superscript"/>
                </w:rPr>
                <w:t xml:space="preserve"> </w:t>
              </w:r>
              <w:r>
                <w:t xml:space="preserve">   </w:t>
              </w:r>
              <w:hyperlink w:history="true" r:id="Rb455c47d13544853">
                <w:r>
                  <w:rPr>
                    <w:rStyle w:val="Hyperlink"/>
                  </w:rPr>
                  <w:t xml:space="preserve">https://www.judiciary.hk/en/court_services_facilities/dov.html</w:t>
                </w:r>
              </w:hyperlink>
              <w:r>
                <w:t xml:space="preserve">. </w:t>
              </w:r>
            </w:p>
            <w:p>
              <w:pPr>
                <w:pStyle w:val="BodyText"/>
              </w:pPr>
              <w:r>
                <w:rPr>
                  <w:color w:val="000000"/>
                  <w:vertAlign w:val="superscript"/>
                </w:rPr>
                <w:t xml:space="preserve">[81]</w:t>
              </w:r>
              <w:r>
                <w:t xml:space="preserve">    </w:t>
              </w:r>
              <w:r>
                <w:t xml:space="preserve">"Witness in fear" is defined in Section 79B of the Criminal Procedure Ordinance (Cap 221) as a witness whom the court hearing the evidence is satisfied, on reasonable grounds, is apprehensive as to the safety of himself or any member of his family if he gives evidence. </w:t>
              </w:r>
            </w:p>
            <w:p>
              <w:pPr>
                <w:pStyle w:val="BodyText"/>
              </w:pPr>
              <w:r>
                <w:rPr>
                  <w:color w:val="000000"/>
                  <w:vertAlign w:val="superscript"/>
                </w:rPr>
                <w:t xml:space="preserve">[82]</w:t>
              </w:r>
              <w:r>
                <w:rPr>
                  <w:vertAlign w:val="superscript"/>
                </w:rPr>
                <w:t xml:space="preserve"> </w:t>
              </w:r>
              <w:r>
                <w:t xml:space="preserve">   </w:t>
              </w:r>
              <w:r>
                <w:t xml:space="preserve">Part IIIA of Criminal Procedure Ordinance.</w:t>
              </w:r>
            </w:p>
            <w:p>
              <w:pPr>
                <w:pStyle w:val="BodyText"/>
              </w:pPr>
              <w:r>
                <w:rPr>
                  <w:color w:val="000000"/>
                  <w:vertAlign w:val="superscript"/>
                </w:rPr>
                <w:t xml:space="preserve">[83]</w:t>
              </w:r>
              <w:r>
                <w:rPr>
                  <w:vertAlign w:val="superscript"/>
                </w:rPr>
                <w:t xml:space="preserve"> </w:t>
              </w:r>
              <w:r>
                <w:t xml:space="preserve">   </w:t>
              </w:r>
              <w:r>
                <w:t xml:space="preserve">For the purposes of evidence given by live television link or depositions, a "child" is defined in section 79A of Criminal Procedure Ordinance, as under 17 years of age for cases concerning an offence of sexual abuse; and as under 14 years of age for other offences.</w:t>
              </w:r>
            </w:p>
            <w:p>
              <w:pPr>
                <w:pStyle w:val="BodyText"/>
              </w:pPr>
              <w:r>
                <w:rPr>
                  <w:color w:val="000000"/>
                  <w:vertAlign w:val="superscript"/>
                </w:rPr>
                <w:t xml:space="preserve">[84]</w:t>
              </w:r>
              <w:r>
                <w:t xml:space="preserve">    </w:t>
              </w:r>
              <w:r>
                <w:t xml:space="preserve">Section 79B of Criminal Procedure Ordinance.</w:t>
              </w:r>
            </w:p>
            <w:p>
              <w:pPr>
                <w:pStyle w:val="BodyText"/>
              </w:pPr>
              <w:r>
                <w:rPr>
                  <w:color w:val="000000"/>
                  <w:vertAlign w:val="superscript"/>
                </w:rPr>
                <w:t xml:space="preserve">[85]</w:t>
              </w:r>
              <w:r>
                <w:t xml:space="preserve">    </w:t>
              </w:r>
              <w:r>
                <w:t xml:space="preserve">For the purposes of video recorded evidence, a "child" is defined in Section 79A(a)(ii) and (b)(ii) of CO, as under 17 years of age when the video was made and under 18 years of age at the time when the video is given in evidence for cases concerning an offence of sexual abuse. For offences other than sexual abuse, a "child" is defined as under 14 years of age when the video was made and under 15 years of age at the time when the video is given in evidence. </w:t>
              </w:r>
            </w:p>
            <w:p>
              <w:pPr>
                <w:pStyle w:val="BodyText"/>
              </w:pPr>
              <w:r>
                <w:rPr>
                  <w:color w:val="000000"/>
                  <w:vertAlign w:val="superscript"/>
                </w:rPr>
                <w:t xml:space="preserve">[86]</w:t>
              </w:r>
              <w:r>
                <w:rPr>
                  <w:vertAlign w:val="superscript"/>
                </w:rPr>
                <w:t xml:space="preserve"> </w:t>
              </w:r>
              <w:r>
                <w:t xml:space="preserve">   </w:t>
              </w:r>
              <w:r>
                <w:t xml:space="preserve">Section 79C of CO.</w:t>
              </w:r>
            </w:p>
            <w:p>
              <w:pPr>
                <w:pStyle w:val="BodyText"/>
              </w:pPr>
              <w:r>
                <w:rPr>
                  <w:color w:val="000000"/>
                  <w:vertAlign w:val="superscript"/>
                </w:rPr>
                <w:t xml:space="preserve">[87]</w:t>
              </w:r>
              <w:r>
                <w:rPr>
                  <w:vertAlign w:val="superscript"/>
                </w:rPr>
                <w:t xml:space="preserve"> </w:t>
              </w:r>
              <w:r>
                <w:t xml:space="preserve">   </w:t>
              </w:r>
              <w:r>
                <w:t xml:space="preserve">Section 79C of CO.</w:t>
              </w:r>
            </w:p>
            <w:p>
              <w:pPr>
                <w:pStyle w:val="BodyText"/>
              </w:pPr>
              <w:r>
                <w:rPr>
                  <w:color w:val="000000"/>
                  <w:vertAlign w:val="superscript"/>
                </w:rPr>
                <w:t xml:space="preserve">[88]</w:t>
              </w:r>
              <w:r>
                <w:t xml:space="preserve">    </w:t>
              </w:r>
              <w:r>
                <w:t xml:space="preserve">Section 79E of CO. A deposition means an out of court oral testimony of a witness that is reduced to writing for the later use in court. A party to the proceedings may apply for leave for deposition in writing to be taken from the child by a magistrate. </w:t>
              </w:r>
            </w:p>
            <w:p>
              <w:pPr>
                <w:pStyle w:val="BodyText"/>
              </w:pPr>
              <w:r>
                <w:rPr>
                  <w:color w:val="000000"/>
                  <w:vertAlign w:val="superscript"/>
                </w:rPr>
                <w:t xml:space="preserve">[89]</w:t>
              </w:r>
              <w:r>
                <w:t xml:space="preserve">    </w:t>
              </w:r>
              <w:r>
                <w:t xml:space="preserve">Section 27 of Limitation Ordinance (Cap. 347) (LO).</w:t>
              </w:r>
            </w:p>
            <w:p>
              <w:pPr>
                <w:pStyle w:val="BodyText"/>
              </w:pPr>
              <w:r>
                <w:rPr>
                  <w:color w:val="000000"/>
                  <w:vertAlign w:val="superscript"/>
                </w:rPr>
                <w:t xml:space="preserve">[90]</w:t>
              </w:r>
              <w:r>
                <w:rPr>
                  <w:vertAlign w:val="superscript"/>
                </w:rPr>
                <w:t xml:space="preserve">  </w:t>
              </w:r>
              <w:r>
                <w:t xml:space="preserve">  </w:t>
              </w:r>
              <w:r>
                <w:t xml:space="preserve">Sections 4 and 27(2) of LO.</w:t>
              </w:r>
            </w:p>
            <w:p>
              <w:pPr>
                <w:pStyle w:val="BodyText"/>
              </w:pPr>
              <w:r>
                <w:rPr>
                  <w:color w:val="000000"/>
                  <w:vertAlign w:val="superscript"/>
                </w:rPr>
                <w:t xml:space="preserve">[91]</w:t>
              </w:r>
              <w:r>
                <w:rPr>
                  <w:vertAlign w:val="superscript"/>
                </w:rPr>
                <w:t xml:space="preserve"> </w:t>
              </w:r>
              <w:r>
                <w:t xml:space="preserve">   </w:t>
              </w:r>
              <w:r>
                <w:t xml:space="preserve">Other factors to be taken into account are set out in Sections 3(2), 3A(6) and 3B(4).</w:t>
              </w:r>
            </w:p>
            <w:p>
              <w:pPr>
                <w:pStyle w:val="BodyText"/>
              </w:pPr>
              <w:r>
                <w:rPr>
                  <w:color w:val="000000"/>
                  <w:vertAlign w:val="superscript"/>
                </w:rPr>
                <w:t xml:space="preserve">[92]</w:t>
              </w:r>
              <w:r>
                <w:t xml:space="preserve">    </w:t>
              </w:r>
              <w:r>
                <w:t xml:space="preserve">Section 7A(3)(a) of DCRVO.</w:t>
              </w:r>
            </w:p>
            <w:p>
              <w:pPr>
                <w:pStyle w:val="BodyText"/>
              </w:pPr>
              <w:r>
                <w:rPr>
                  <w:color w:val="000000"/>
                  <w:vertAlign w:val="superscript"/>
                </w:rPr>
                <w:t xml:space="preserve">[93]</w:t>
              </w:r>
              <w:r>
                <w:t xml:space="preserve">    </w:t>
              </w:r>
              <w:r>
                <w:t xml:space="preserve">Section 34. Annotated Ordinance of PCJO, paragraph 34.02.</w:t>
              </w:r>
            </w:p>
            <w:p>
              <w:pPr>
                <w:pStyle w:val="BodyText"/>
              </w:pPr>
              <w:r>
                <w:rPr>
                  <w:color w:val="000000"/>
                  <w:vertAlign w:val="superscript"/>
                </w:rPr>
                <w:t xml:space="preserve">[94]</w:t>
              </w:r>
              <w:r>
                <w:rPr>
                  <w:vertAlign w:val="superscript"/>
                </w:rPr>
                <w:t xml:space="preserve"> </w:t>
              </w:r>
              <w:r>
                <w:t xml:space="preserve">   </w:t>
              </w:r>
              <w:r>
                <w:t xml:space="preserve">Section 21L(2) of HCO.</w:t>
              </w:r>
            </w:p>
            <w:p>
              <w:pPr>
                <w:pStyle w:val="BodyText"/>
              </w:pPr>
              <w:r>
                <w:rPr>
                  <w:color w:val="000000"/>
                  <w:vertAlign w:val="superscript"/>
                </w:rPr>
                <w:t xml:space="preserve">[95]</w:t>
              </w:r>
              <w:r>
                <w:t xml:space="preserve">    </w:t>
              </w:r>
              <w:r>
                <w:t xml:space="preserve">Section 48(1) of DCO.</w:t>
              </w:r>
            </w:p>
            <w:p>
              <w:pPr>
                <w:pStyle w:val="BodyText"/>
              </w:pPr>
              <w:r>
                <w:rPr>
                  <w:color w:val="000000"/>
                  <w:vertAlign w:val="superscript"/>
                </w:rPr>
                <w:t xml:space="preserve">[96]</w:t>
              </w:r>
              <w:r>
                <w:t xml:space="preserve">    </w:t>
              </w:r>
              <w:r>
                <w:t xml:space="preserve">Child" refers to a person under the age of 14 while "juvenile" means a person who is 14 years of age or upwards and under the age of 18, Section 2 of PCJO.</w:t>
              </w:r>
            </w:p>
            <w:p>
              <w:pPr>
                <w:pStyle w:val="BodyText"/>
              </w:pPr>
              <w:r>
                <w:rPr>
                  <w:color w:val="000000"/>
                  <w:vertAlign w:val="superscript"/>
                </w:rPr>
                <w:t xml:space="preserve">[97]</w:t>
              </w:r>
              <w:r>
                <w:t xml:space="preserve">    </w:t>
              </w:r>
              <w:r>
                <w:t xml:space="preserve">Section 34 of PCJO.</w:t>
              </w:r>
            </w:p>
            <w:p>
              <w:pPr>
                <w:pStyle w:val="BodyText"/>
              </w:pPr>
              <w:r>
                <w:rPr>
                  <w:color w:val="000000"/>
                  <w:vertAlign w:val="superscript"/>
                </w:rPr>
                <w:t xml:space="preserve">[98]</w:t>
              </w:r>
              <w:r>
                <w:t xml:space="preserve">    </w:t>
              </w:r>
              <w:r>
                <w:rPr>
                  <w:i/>
                </w:rPr>
                <w:t xml:space="preserve">D v. L</w:t>
              </w:r>
              <w:r>
                <w:t xml:space="preserve"> [2014] HKCU 1076.</w:t>
              </w:r>
            </w:p>
            <w:p>
              <w:pPr>
                <w:pStyle w:val="BodyText"/>
              </w:pPr>
              <w:r>
                <w:rPr>
                  <w:color w:val="000000"/>
                  <w:vertAlign w:val="superscript"/>
                </w:rPr>
                <w:t xml:space="preserve">[99]</w:t>
              </w:r>
              <w:r>
                <w:t xml:space="preserve">    </w:t>
              </w:r>
              <w:r>
                <w:t xml:space="preserve">See </w:t>
              </w:r>
              <w:r>
                <w:rPr>
                  <w:i/>
                </w:rPr>
                <w:t xml:space="preserve">P v. C</w:t>
              </w:r>
              <w:r>
                <w:t xml:space="preserve"> [2007] HKFLR 195 and </w:t>
              </w:r>
              <w:r>
                <w:rPr>
                  <w:i/>
                </w:rPr>
                <w:t xml:space="preserve">YLS v. TL</w:t>
              </w:r>
              <w:r>
                <w:t xml:space="preserve"> (Custody and Domestic Violence) [2009] HKFLR 19 for cost orders made in favour of the petitioner. </w:t>
              </w:r>
            </w:p>
            <w:p>
              <w:pPr>
                <w:pStyle w:val="BodyText"/>
              </w:pPr>
              <w:r>
                <w:rPr>
                  <w:color w:val="000000"/>
                  <w:vertAlign w:val="superscript"/>
                </w:rPr>
                <w:t xml:space="preserve">[100]</w:t>
              </w:r>
              <w:r>
                <w:rPr>
                  <w:vertAlign w:val="superscript"/>
                </w:rPr>
                <w:t xml:space="preserve"> </w:t>
              </w:r>
              <w:r>
                <w:t xml:space="preserve">   </w:t>
              </w:r>
              <w:r>
                <w:rPr>
                  <w:i/>
                </w:rPr>
                <w:t xml:space="preserve">莫</w:t>
              </w:r>
              <w:r>
                <w:rPr>
                  <w:i/>
                </w:rPr>
                <w:t xml:space="preserve"> v. </w:t>
              </w:r>
              <w:r>
                <w:rPr>
                  <w:i/>
                </w:rPr>
                <w:t xml:space="preserve">李</w:t>
              </w:r>
              <w:r>
                <w:t xml:space="preserve"> [2017] HKCU 2594.</w:t>
              </w:r>
            </w:p>
            <w:p>
              <w:pPr>
                <w:pStyle w:val="BodyText"/>
              </w:pPr>
              <w:r>
                <w:rPr>
                  <w:color w:val="000000"/>
                  <w:vertAlign w:val="superscript"/>
                </w:rPr>
                <w:t xml:space="preserve">[101]</w:t>
              </w:r>
              <w:r>
                <w:rPr>
                  <w:vertAlign w:val="superscript"/>
                </w:rPr>
                <w:t xml:space="preserve"> </w:t>
              </w:r>
              <w:r>
                <w:t xml:space="preserve">   </w:t>
              </w:r>
              <w:r>
                <w:rPr>
                  <w:i/>
                </w:rPr>
                <w:t xml:space="preserve">D v. L</w:t>
              </w:r>
              <w:r>
                <w:t xml:space="preserve"> [2014] HKCU 1076.</w:t>
              </w:r>
            </w:p>
            <w:p>
              <w:pPr>
                <w:pStyle w:val="BodyText"/>
              </w:pPr>
              <w:r>
                <w:rPr>
                  <w:color w:val="000000"/>
                  <w:vertAlign w:val="superscript"/>
                </w:rPr>
                <w:t xml:space="preserve">[102]</w:t>
              </w:r>
              <w:r>
                <w:t xml:space="preserve">    </w:t>
              </w:r>
              <w:r>
                <w:t xml:space="preserve">Labor Department (2019) Practical Guide For Employment of Foreign Domestic Helpers, p, 5 Question 1.7, url =&lt;https://www.fdh.labour.gov.hk/res/pdf/FDHguideEnglish.pdf&gt; (last accessed 16 October 2020).</w:t>
              </w:r>
            </w:p>
            <w:p>
              <w:pPr>
                <w:pStyle w:val="BodyText"/>
              </w:pPr>
              <w:r>
                <w:rPr>
                  <w:color w:val="000000"/>
                  <w:vertAlign w:val="superscript"/>
                </w:rPr>
                <w:t xml:space="preserve">[103]</w:t>
              </w:r>
              <w:r>
                <w:rPr>
                  <w:vertAlign w:val="superscript"/>
                </w:rPr>
                <w:t xml:space="preserve"> </w:t>
              </w:r>
              <w:r>
                <w:t xml:space="preserve">   </w:t>
              </w:r>
              <w:r>
                <w:t xml:space="preserve">Immigration Department (2019) Standard Employment Contract and Terms of Employment for Helpers url=&lt;https://www.immd.gov.hk/eng/forms/forms/fdhcontractterms.html&gt; (last accessed 16 October 2020).</w:t>
              </w:r>
            </w:p>
            <w:p>
              <w:pPr>
                <w:pStyle w:val="BodyText"/>
              </w:pPr>
              <w:r>
                <w:rPr>
                  <w:color w:val="000000"/>
                  <w:vertAlign w:val="superscript"/>
                </w:rPr>
                <w:t xml:space="preserve">[104]</w:t>
              </w:r>
              <w:r>
                <w:rPr>
                  <w:vertAlign w:val="superscript"/>
                </w:rPr>
                <w:t xml:space="preserve"> </w:t>
              </w:r>
              <w:r>
                <w:t xml:space="preserve">   </w:t>
              </w:r>
              <w:r>
                <w:rPr>
                  <w:i/>
                </w:rPr>
                <w:t xml:space="preserve">Erwiana Sulistyaningsih v. Law Wan Tung</w:t>
              </w:r>
              <w:r>
                <w:t xml:space="preserve"> DCPI 569B/2015, DCPI 569/2015; </w:t>
              </w:r>
              <w:r>
                <w:rPr>
                  <w:i/>
                </w:rPr>
                <w:t xml:space="preserve">Faridha Sulistyoningsih v. Mak Oi Ling Karen</w:t>
              </w:r>
              <w:r>
                <w:t xml:space="preserve"> DCPI 1575/2005.</w:t>
              </w:r>
            </w:p>
            <w:p>
              <w:pPr>
                <w:pStyle w:val="BodyText"/>
              </w:pPr>
              <w:r>
                <w:rPr>
                  <w:color w:val="000000"/>
                  <w:vertAlign w:val="superscript"/>
                </w:rPr>
                <w:t xml:space="preserve">[105]</w:t>
              </w:r>
              <w:r>
                <w:rPr>
                  <w:vertAlign w:val="superscript"/>
                </w:rPr>
                <w:t xml:space="preserve"> </w:t>
              </w:r>
              <w:r>
                <w:t xml:space="preserve">   </w:t>
              </w:r>
              <w:r>
                <w:rPr>
                  <w:i/>
                </w:rPr>
                <w:t xml:space="preserve">Erwiana Sulistyaningsih v. Law Wan Tung</w:t>
              </w:r>
              <w:r>
                <w:t xml:space="preserve"> DCPI 569B/2015.</w:t>
              </w:r>
            </w:p>
            <w:p>
              <w:pPr>
                <w:pStyle w:val="BodyText"/>
              </w:pPr>
              <w:r>
                <w:rPr>
                  <w:color w:val="000000"/>
                  <w:vertAlign w:val="superscript"/>
                </w:rPr>
                <w:t xml:space="preserve">[106]</w:t>
              </w:r>
              <w:r>
                <w:t xml:space="preserve">    </w:t>
              </w:r>
              <w:r>
                <w:t xml:space="preserve">Sections. 3, 3A and 3B of DCRVO.</w:t>
              </w:r>
            </w:p>
            <w:p>
              <w:pPr>
                <w:pStyle w:val="BodyText"/>
              </w:pPr>
              <w:r>
                <w:rPr>
                  <w:color w:val="000000"/>
                  <w:vertAlign w:val="superscript"/>
                </w:rPr>
                <w:t xml:space="preserve">[107]</w:t>
              </w:r>
              <w:r>
                <w:t xml:space="preserve">    </w:t>
              </w:r>
              <w:r>
                <w:t xml:space="preserve">Chapter 5 Hong Kong Police Force, Procedural Guide for Handling Intimate Partner Violence Cases</w:t>
              </w:r>
            </w:p>
            <w:p>
              <w:pPr>
                <w:pStyle w:val="BodyText"/>
              </w:pPr>
              <w:r>
                <w:t xml:space="preserve">(Revised 2011), Social Welfare Department HKSAR, at para 5.1 </w:t>
              </w:r>
              <w:hyperlink w:history="true" r:id="R36031cfbb0c14273">
                <w:r>
                  <w:rPr>
                    <w:rStyle w:val="Hyperlink"/>
                  </w:rPr>
                  <w:t xml:space="preserve">https://www.swd.gov.hk/doc/fcw/proc_guidelines/battered_spouse/Chapter%205%20(Eng)%2024042013.pdf</w:t>
                </w:r>
              </w:hyperlink>
              <w:r>
                <w:t xml:space="preserve">.</w:t>
              </w:r>
            </w:p>
            <w:p>
              <w:pPr>
                <w:pStyle w:val="BodyText"/>
              </w:pPr>
              <w:r>
                <w:rPr>
                  <w:color w:val="000000"/>
                  <w:vertAlign w:val="superscript"/>
                </w:rPr>
                <w:t xml:space="preserve">[108]</w:t>
              </w:r>
              <w:r>
                <w:t xml:space="preserve">    </w:t>
              </w:r>
              <w:r>
                <w:t xml:space="preserve">Chapter 6 Legal Aid Department, Procedural Guide for Handling Intimate Partner Violence Cases</w:t>
              </w:r>
            </w:p>
            <w:p>
              <w:pPr>
                <w:pStyle w:val="BodyText"/>
              </w:pPr>
              <w:r>
                <w:t xml:space="preserve">(Revised 2011), Social Welfare Department HKSAR, at para 6.1 </w:t>
              </w:r>
              <w:hyperlink w:history="true" r:id="R0aa16300364e4e2b">
                <w:r>
                  <w:rPr>
                    <w:rStyle w:val="Hyperlink"/>
                  </w:rPr>
                  <w:t xml:space="preserve">https://www.swd.gov.hk/doc/fcw/proc_guidelines/battered_spouse/Chapter%206%20(Eng)%2024042013.pdf</w:t>
                </w:r>
              </w:hyperlink>
              <w:r>
                <w:rPr>
                  <w:color w:val="002856"/>
                </w:rPr>
                <w:t xml:space="preserve">.</w:t>
              </w:r>
            </w:p>
            <w:p>
              <w:pPr>
                <w:pStyle w:val="BodyText"/>
              </w:pPr>
              <w:r>
                <w:rPr>
                  <w:color w:val="000000"/>
                  <w:vertAlign w:val="superscript"/>
                </w:rPr>
                <w:t xml:space="preserve">[109]</w:t>
              </w:r>
              <w:r>
                <w:t xml:space="preserve">    </w:t>
              </w:r>
              <w:r>
                <w:t xml:space="preserve">Chapter 12 of Prosecution Code of Department of Justice, at para 12.3</w:t>
              </w:r>
            </w:p>
            <w:p>
              <w:pPr>
                <w:pStyle w:val="BodyText"/>
              </w:pPr>
              <w:pPr>
                <w:ind w:left="432"/>
              </w:pPr>
              <w:r>
                <w:t xml:space="preserve">https://www.doj.gov.hk/en/publications/pdf/pdcode1314e.pdf.</w:t>
              </w:r>
            </w:p>
            <w:p>
              <w:pPr>
                <w:pStyle w:val="BodyText"/>
              </w:pPr>
              <w:r>
                <w:rPr>
                  <w:color w:val="000000"/>
                  <w:vertAlign w:val="superscript"/>
                </w:rPr>
                <w:t xml:space="preserve">[110]</w:t>
              </w:r>
              <w:r>
                <w:t xml:space="preserve">    </w:t>
              </w:r>
              <w:r>
                <w:rPr>
                  <w:i/>
                </w:rPr>
                <w:t xml:space="preserve">HKSAR v. Hung Wai Tak</w:t>
              </w:r>
              <w:r>
                <w:t xml:space="preserve"> (unrep. CACC 308/1999, 30 October 2000).</w:t>
              </w:r>
            </w:p>
            <w:p>
              <w:pPr>
                <w:pStyle w:val="BodyText"/>
              </w:pPr>
              <w:r>
                <w:rPr>
                  <w:color w:val="000000"/>
                  <w:vertAlign w:val="superscript"/>
                </w:rPr>
                <w:t xml:space="preserve">[111]</w:t>
              </w:r>
              <w:r>
                <w:t xml:space="preserve">    </w:t>
              </w:r>
              <w:r>
                <w:t xml:space="preserve">Section 57(3) and (4) of CPO.</w:t>
              </w:r>
            </w:p>
            <w:p>
              <w:pPr>
                <w:pStyle w:val="BodyText"/>
              </w:pPr>
              <w:r>
                <w:rPr>
                  <w:color w:val="000000"/>
                  <w:vertAlign w:val="superscript"/>
                </w:rPr>
                <w:t xml:space="preserve">[112]</w:t>
              </w:r>
              <w:r>
                <w:rPr>
                  <w:vertAlign w:val="superscript"/>
                </w:rPr>
                <w:t xml:space="preserve"> </w:t>
              </w:r>
              <w:r>
                <w:t xml:space="preserve">   </w:t>
              </w:r>
              <w:r>
                <w:t xml:space="preserve">Chapter 17 of Prosecution Code of Department of Justice at para 17.5 https://www.doj.gov.hk/en/publications/prosecution_ch17.html.</w:t>
              </w:r>
            </w:p>
            <w:p>
              <w:pPr>
                <w:pStyle w:val="BodyText"/>
              </w:pPr>
              <w:r>
                <w:rPr>
                  <w:color w:val="000000"/>
                  <w:vertAlign w:val="superscript"/>
                </w:rPr>
                <w:t xml:space="preserve">[113]</w:t>
              </w:r>
              <w:r>
                <w:t xml:space="preserve">    </w:t>
              </w:r>
              <w:r>
                <w:rPr>
                  <w:i/>
                </w:rPr>
                <w:t xml:space="preserve">HKSAR v. Ng Po On</w:t>
              </w:r>
              <w:r>
                <w:t xml:space="preserve"> [2008] 11 HKCFAR 91.</w:t>
              </w:r>
            </w:p>
            <w:p>
              <w:pPr>
                <w:pStyle w:val="BodyText"/>
              </w:pPr>
              <w:r>
                <w:rPr>
                  <w:color w:val="000000"/>
                  <w:vertAlign w:val="superscript"/>
                </w:rPr>
                <w:t xml:space="preserve">[114]</w:t>
              </w:r>
              <w:r>
                <w:rPr>
                  <w:vertAlign w:val="superscript"/>
                </w:rPr>
                <w:t xml:space="preserve"> </w:t>
              </w:r>
              <w:r>
                <w:t xml:space="preserve">   </w:t>
              </w:r>
              <w:r>
                <w:t xml:space="preserve">Section 17 of OAPO.</w:t>
              </w:r>
            </w:p>
            <w:p>
              <w:pPr>
                <w:pStyle w:val="BodyText"/>
              </w:pPr>
              <w:r>
                <w:rPr>
                  <w:color w:val="000000"/>
                  <w:vertAlign w:val="superscript"/>
                </w:rPr>
                <w:t xml:space="preserve">[115]</w:t>
              </w:r>
              <w:r>
                <w:rPr>
                  <w:vertAlign w:val="superscript"/>
                </w:rPr>
                <w:t xml:space="preserve"> </w:t>
              </w:r>
              <w:r>
                <w:t xml:space="preserve">   </w:t>
              </w:r>
              <w:r>
                <w:t xml:space="preserve">Section 122 of CO.</w:t>
              </w:r>
            </w:p>
            <w:p>
              <w:pPr>
                <w:pStyle w:val="BodyText"/>
              </w:pPr>
              <w:r>
                <w:rPr>
                  <w:color w:val="000000"/>
                  <w:vertAlign w:val="superscript"/>
                </w:rPr>
                <w:t xml:space="preserve">[116]</w:t>
              </w:r>
              <w:r>
                <w:rPr>
                  <w:vertAlign w:val="superscript"/>
                </w:rPr>
                <w:t xml:space="preserve"> </w:t>
              </w:r>
              <w:r>
                <w:t xml:space="preserve">   </w:t>
              </w:r>
              <w:r>
                <w:t xml:space="preserve">Section 31 of CO.</w:t>
              </w:r>
            </w:p>
            <w:p>
              <w:pPr>
                <w:pStyle w:val="BodyText"/>
              </w:pPr>
              <w:r>
                <w:rPr>
                  <w:color w:val="000000"/>
                  <w:vertAlign w:val="superscript"/>
                </w:rPr>
                <w:t xml:space="preserve">[117]</w:t>
              </w:r>
              <w:r>
                <w:t xml:space="preserve">    </w:t>
              </w:r>
              <w:r>
                <w:t xml:space="preserve">Paragraphs 7.7 and 7.9(a) at </w:t>
              </w:r>
              <w:hyperlink w:history="true" r:id="R4408d079429e4f60">
                <w:r>
                  <w:rPr>
                    <w:rStyle w:val="Hyperlink"/>
                  </w:rPr>
                  <w:t xml:space="preserve">https://www.swd.gov.hk/doc/fcw/proc_guidelines/battered_spouse/Acrobat%20Document%20(updated%20in%20August%202014).pdf</w:t>
                </w:r>
              </w:hyperlink>
              <w:r>
                <w:t xml:space="preserve">.</w:t>
              </w:r>
              <w:r>
                <w:t xml:space="preserve"> </w:t>
              </w:r>
            </w:p>
            <w:p>
              <w:pPr>
                <w:pStyle w:val="BodyText"/>
              </w:pPr>
              <w:r>
                <w:rPr>
                  <w:color w:val="000000"/>
                  <w:vertAlign w:val="superscript"/>
                </w:rPr>
                <w:t xml:space="preserve">[118]</w:t>
              </w:r>
              <w:r>
                <w:t xml:space="preserve">    </w:t>
              </w:r>
              <w:r>
                <w:t xml:space="preserve">Section 91(2) of CPO.</w:t>
              </w:r>
            </w:p>
            <w:p>
              <w:pPr>
                <w:pStyle w:val="BodyText"/>
              </w:pPr>
              <w:r>
                <w:rPr>
                  <w:color w:val="000000"/>
                  <w:vertAlign w:val="superscript"/>
                </w:rPr>
                <w:t xml:space="preserve">[119]</w:t>
              </w:r>
              <w:r>
                <w:t xml:space="preserve">    </w:t>
              </w:r>
              <w:r>
                <w:t xml:space="preserve">Section 122(2) of CO.</w:t>
              </w:r>
            </w:p>
            <w:p>
              <w:pPr>
                <w:pStyle w:val="BodyText"/>
              </w:pPr>
              <w:r>
                <w:rPr>
                  <w:color w:val="000000"/>
                  <w:vertAlign w:val="superscript"/>
                </w:rPr>
                <w:t xml:space="preserve">[120]</w:t>
              </w:r>
              <w:r>
                <w:t xml:space="preserve">    </w:t>
              </w:r>
              <w:r>
                <w:t xml:space="preserve">It is an essential element for the prosecution to prove the absence of consent in a charge of common assault but not for cases of assault occasioning actual bodily harm and wounding or grievous bodily harm: </w:t>
              </w:r>
              <w:r>
                <w:rPr>
                  <w:i/>
                </w:rPr>
                <w:t xml:space="preserve">R v. Brown</w:t>
              </w:r>
              <w:r>
                <w:t xml:space="preserve"> [1994] 1 A.C. 212 adopted by the Hong Kong Court of Appeal in </w:t>
              </w:r>
              <w:r>
                <w:rPr>
                  <w:i/>
                </w:rPr>
                <w:t xml:space="preserve">R v. Yuen Chong &amp; Another</w:t>
              </w:r>
              <w:r>
                <w:t xml:space="preserve"> [1996] HKEC 204, the CFI in </w:t>
              </w:r>
              <w:r>
                <w:t xml:space="preserve">香港特別行政區</w:t>
              </w:r>
              <w:r>
                <w:t xml:space="preserve"> </w:t>
              </w:r>
              <w:r>
                <w:t xml:space="preserve">訴</w:t>
              </w:r>
              <w:r>
                <w:t xml:space="preserve"> </w:t>
              </w:r>
              <w:r>
                <w:t xml:space="preserve">鄧永義</w:t>
              </w:r>
              <w:r>
                <w:t xml:space="preserve"> [2015] CHKEC 607, save for the exceptions listed in Attorney General's Reference (No. 6 of 1980) [1981] QB 715; 73 Cr App R 63 and subsequent case laws. Exceptions include properly conducted lawful games and sports, lawful chastisement or correction, reasonable surgical interference and dangerous exhibitions etc.</w:t>
              </w:r>
            </w:p>
            <w:p>
              <w:pPr>
                <w:pStyle w:val="BodyText"/>
              </w:pPr>
              <w:r>
                <w:rPr>
                  <w:color w:val="000000"/>
                  <w:vertAlign w:val="superscript"/>
                </w:rPr>
                <w:t xml:space="preserve">[121]</w:t>
              </w:r>
              <w:r>
                <w:t xml:space="preserve">    </w:t>
              </w:r>
              <w:r>
                <w:t xml:space="preserve">Section 74 of CPO.</w:t>
              </w:r>
            </w:p>
            <w:p>
              <w:pPr>
                <w:pStyle w:val="BodyText"/>
              </w:pPr>
              <w:r>
                <w:rPr>
                  <w:color w:val="000000"/>
                  <w:vertAlign w:val="superscript"/>
                </w:rPr>
                <w:t xml:space="preserve">[122]</w:t>
              </w:r>
              <w:r>
                <w:rPr>
                  <w:vertAlign w:val="superscript"/>
                </w:rPr>
                <w:t xml:space="preserve"> </w:t>
              </w:r>
              <w:r>
                <w:t xml:space="preserve">   </w:t>
              </w:r>
              <w:r>
                <w:t xml:space="preserve">Section 76 of CPO.</w:t>
              </w:r>
            </w:p>
            <w:p>
              <w:pPr>
                <w:pStyle w:val="BodyText"/>
              </w:pPr>
              <w:r>
                <w:rPr>
                  <w:color w:val="000000"/>
                  <w:vertAlign w:val="superscript"/>
                </w:rPr>
                <w:t xml:space="preserve">[123]</w:t>
              </w:r>
              <w:r>
                <w:t xml:space="preserve">    </w:t>
              </w:r>
              <w:r>
                <w:rPr>
                  <w:i/>
                </w:rPr>
                <w:t xml:space="preserve">HKSAR v. Wong Kam Ching (</w:t>
              </w:r>
              <w:r>
                <w:t xml:space="preserve">CACC 74/2016). </w:t>
              </w:r>
            </w:p>
            <w:p>
              <w:pPr>
                <w:pStyle w:val="BodyText"/>
              </w:pPr>
              <w:r>
                <w:rPr>
                  <w:color w:val="000000"/>
                  <w:vertAlign w:val="superscript"/>
                </w:rPr>
                <w:t xml:space="preserve">[124]</w:t>
              </w:r>
              <w:r>
                <w:rPr>
                  <w:vertAlign w:val="superscript"/>
                </w:rPr>
                <w:t xml:space="preserve"> </w:t>
              </w:r>
              <w:r>
                <w:t xml:space="preserve">   </w:t>
              </w:r>
              <w:r>
                <w:t xml:space="preserve">Sections 21(1) </w:t>
              </w:r>
              <w:r>
                <w:t xml:space="preserve">and (3)</w:t>
              </w:r>
              <w:r>
                <w:t xml:space="preserve"> of </w:t>
              </w:r>
              <w:r>
                <w:t xml:space="preserve">M</w:t>
              </w:r>
              <w:r>
                <w:t xml:space="preserve">agistrates Ordinance (Cap. 227); </w:t>
              </w:r>
              <w:r>
                <w:t xml:space="preserve">Section 34 of CPO.</w:t>
              </w:r>
            </w:p>
            <w:p>
              <w:pPr>
                <w:pStyle w:val="BodyText"/>
              </w:pPr>
              <w:r>
                <w:rPr>
                  <w:color w:val="000000"/>
                  <w:vertAlign w:val="superscript"/>
                </w:rPr>
                <w:t xml:space="preserve">[125]</w:t>
              </w:r>
              <w:r>
                <w:t xml:space="preserve">    </w:t>
              </w:r>
              <w:r>
                <w:t xml:space="preserve">If a person refuses to appear in the court as required by the summons or warrant without a reasonable cause, or if the person appears in the court, but refuses to be sworn or refuses to give evidence without a reasonable cause, they may be liable for contempt of court, and subject to a fine and imprisonment: Section 21(5), Magistrates Ordinance (Cap. 227); Section 36, Criminal Procedure Ordinance (Cap. 221).</w:t>
              </w:r>
            </w:p>
            <w:p>
              <w:pPr>
                <w:pStyle w:val="BodyText"/>
              </w:pPr>
              <w:r>
                <w:rPr>
                  <w:color w:val="000000"/>
                  <w:vertAlign w:val="superscript"/>
                </w:rPr>
                <w:t xml:space="preserve">[126]</w:t>
              </w:r>
              <w:r>
                <w:t xml:space="preserve">    </w:t>
              </w:r>
              <w:r>
                <w:t xml:space="preserve">Section 65A of E</w:t>
              </w:r>
              <w:r>
                <w:t xml:space="preserve">vidence Ordinance </w:t>
              </w:r>
              <w:r>
                <w:t xml:space="preserve">(</w:t>
              </w:r>
              <w:r>
                <w:t xml:space="preserve">Cap. 8).</w:t>
              </w:r>
            </w:p>
            <w:p>
              <w:pPr>
                <w:pStyle w:val="BodyText"/>
              </w:pPr>
              <w:r>
                <w:rPr>
                  <w:color w:val="000000"/>
                  <w:vertAlign w:val="superscript"/>
                </w:rPr>
                <w:t xml:space="preserve">[127]</w:t>
              </w:r>
              <w:r>
                <w:rPr>
                  <w:vertAlign w:val="superscript"/>
                </w:rPr>
                <w:t xml:space="preserve"> </w:t>
              </w:r>
              <w:r>
                <w:t xml:space="preserve">   </w:t>
              </w:r>
              <w:r>
                <w:rPr>
                  <w:i/>
                </w:rPr>
                <w:t xml:space="preserve">R v. Lam Yih Jiun Michael </w:t>
              </w:r>
              <w:r>
                <w:t xml:space="preserve">[1996] 2 HKC 499 at 510I-511A.</w:t>
              </w:r>
            </w:p>
            <w:p>
              <w:pPr>
                <w:pStyle w:val="BodyText"/>
              </w:pPr>
              <w:r>
                <w:rPr>
                  <w:color w:val="000000"/>
                  <w:vertAlign w:val="superscript"/>
                </w:rPr>
                <w:t xml:space="preserve">[128]</w:t>
              </w:r>
              <w:r>
                <w:t xml:space="preserve">    </w:t>
              </w:r>
              <w:r>
                <w:t xml:space="preserve">Section 65(1) of EO.</w:t>
              </w:r>
            </w:p>
            <w:p>
              <w:pPr>
                <w:pStyle w:val="BodyText"/>
              </w:pPr>
              <w:r>
                <w:rPr>
                  <w:color w:val="000000"/>
                  <w:vertAlign w:val="superscript"/>
                </w:rPr>
                <w:t xml:space="preserve">[129]</w:t>
              </w:r>
              <w:r>
                <w:t xml:space="preserve">    </w:t>
              </w:r>
              <w:r>
                <w:rPr>
                  <w:i/>
                </w:rPr>
                <w:t xml:space="preserve">Lam Ngok Yeung v. Director of Immigration &amp; Anor </w:t>
              </w:r>
              <w:r>
                <w:t xml:space="preserve">[1985] 2 HKC 725 at 732D-E.</w:t>
              </w:r>
            </w:p>
            <w:p>
              <w:pPr>
                <w:pStyle w:val="BodyText"/>
              </w:pPr>
              <w:r>
                <w:rPr>
                  <w:color w:val="000000"/>
                  <w:vertAlign w:val="superscript"/>
                </w:rPr>
                <w:t xml:space="preserve">[130]</w:t>
              </w:r>
              <w:r>
                <w:rPr>
                  <w:vertAlign w:val="superscript"/>
                </w:rPr>
                <w:t xml:space="preserve"> </w:t>
              </w:r>
              <w:r>
                <w:t xml:space="preserve">   </w:t>
              </w:r>
              <w:r>
                <w:t xml:space="preserve">Pursuant to the Magistrates Ordinance or Criminal Procedure Ordinance.</w:t>
              </w:r>
            </w:p>
            <w:p>
              <w:pPr>
                <w:pStyle w:val="BodyText"/>
              </w:pPr>
              <w:r>
                <w:rPr>
                  <w:color w:val="000000"/>
                  <w:vertAlign w:val="superscript"/>
                </w:rPr>
                <w:t xml:space="preserve">[131]</w:t>
              </w:r>
              <w:r>
                <w:rPr>
                  <w:vertAlign w:val="superscript"/>
                </w:rPr>
                <w:t xml:space="preserve"> </w:t>
              </w:r>
              <w:r>
                <w:t xml:space="preserve">   </w:t>
              </w:r>
              <w:r>
                <w:rPr>
                  <w:i/>
                </w:rPr>
                <w:t xml:space="preserve">R v. Lam Chi Keung </w:t>
              </w:r>
              <w:r>
                <w:t xml:space="preserve">[1997] 2 HKC 250 at 255D, 256B-C, endorsed by the CFA in </w:t>
              </w:r>
              <w:r>
                <w:rPr>
                  <w:i/>
                </w:rPr>
                <w:t xml:space="preserve">Lam Chi Keung v. HKSAR </w:t>
              </w:r>
              <w:r>
                <w:t xml:space="preserve">[1998] 1 HKC 499 at 502F-G; Section 4 of Evidence Ordinance.</w:t>
              </w:r>
            </w:p>
            <w:p>
              <w:pPr>
                <w:pStyle w:val="BodyText"/>
              </w:pPr>
              <w:r>
                <w:rPr>
                  <w:color w:val="000000"/>
                  <w:vertAlign w:val="superscript"/>
                </w:rPr>
                <w:t xml:space="preserve">[132]</w:t>
              </w:r>
              <w:r>
                <w:t xml:space="preserve">    </w:t>
              </w:r>
              <w:r>
                <w:t xml:space="preserve">Evidence Ordinance. The corroboration rule provided that a judge needs to warn himself or the jury of the danger of convicting on the uncorroborated evidence of a child. This warning potentially undermines the reliability of evidence given by child witnesses.</w:t>
              </w:r>
            </w:p>
            <w:p>
              <w:pPr>
                <w:pStyle w:val="BodyText"/>
              </w:pPr>
              <w:r>
                <w:rPr>
                  <w:color w:val="000000"/>
                  <w:vertAlign w:val="superscript"/>
                </w:rPr>
                <w:t xml:space="preserve">[133]</w:t>
              </w:r>
              <w:r>
                <w:rPr>
                  <w:vertAlign w:val="superscript"/>
                </w:rPr>
                <w:t xml:space="preserve"> </w:t>
              </w:r>
              <w:r>
                <w:t xml:space="preserve">   </w:t>
              </w:r>
              <w:r>
                <w:t xml:space="preserve">Family Community Legal Information Centre, </w:t>
              </w:r>
              <w:hyperlink w:history="true" r:id="Rd7446320deba42f7">
                <w:r>
                  <w:rPr>
                    <w:rStyle w:val="Hyperlink"/>
                  </w:rPr>
                  <w:t xml:space="preserve">https://familyclic.hk/en/topics/Daily-lives-legal-issues/Domestic-violence-and-assistance/Victims-of-domestic-violence-might-be-required-to-give-evidence/#content</w:t>
                </w:r>
              </w:hyperlink>
              <w:r>
                <w:t xml:space="preserve">.</w:t>
              </w:r>
            </w:p>
            <w:p>
              <w:pPr>
                <w:pStyle w:val="BodyText"/>
              </w:pPr>
              <w:r>
                <w:rPr>
                  <w:color w:val="000000"/>
                  <w:vertAlign w:val="superscript"/>
                </w:rPr>
                <w:t xml:space="preserve">[134]</w:t>
              </w:r>
              <w:r>
                <w:rPr>
                  <w:vertAlign w:val="superscript"/>
                </w:rPr>
                <w:t xml:space="preserve"> </w:t>
              </w:r>
              <w:r>
                <w:t xml:space="preserve">   </w:t>
              </w:r>
              <w:r>
                <w:t xml:space="preserve">Both offences are under the Offences against the Person Ordinance.</w:t>
              </w:r>
            </w:p>
            <w:p>
              <w:pPr>
                <w:pStyle w:val="BodyText"/>
              </w:pPr>
              <w:r>
                <w:rPr>
                  <w:color w:val="000000"/>
                  <w:vertAlign w:val="superscript"/>
                </w:rPr>
                <w:t xml:space="preserve">[135]</w:t>
              </w:r>
              <w:r>
                <w:t xml:space="preserve">    </w:t>
              </w:r>
              <w:r>
                <w:t xml:space="preserve">The Law Reform Commission of Hong Kong (2019) Causing or Allowing the Death or Serious Harm of a Child or Vulnerable Adult (HKLRC Consultation Paper), p.5-7, https://www.hkreform.gov.hk/en/docs/cadcva_e.pdf.</w:t>
              </w:r>
            </w:p>
            <w:p>
              <w:pPr>
                <w:pStyle w:val="BodyText"/>
              </w:pPr>
              <w:r>
                <w:rPr>
                  <w:color w:val="000000"/>
                  <w:vertAlign w:val="superscript"/>
                </w:rPr>
                <w:t xml:space="preserve">[136]</w:t>
              </w:r>
              <w:r>
                <w:t xml:space="preserve">    </w:t>
              </w:r>
              <w:r>
                <w:rPr>
                  <w:i/>
                </w:rPr>
                <w:t xml:space="preserve">HKSAR v. Chan Chun Tat</w:t>
              </w:r>
              <w:r>
                <w:t xml:space="preserve"> (11/04/2013, CACC317/2012), paragraph 50.</w:t>
              </w:r>
            </w:p>
            <w:p>
              <w:pPr>
                <w:pStyle w:val="BodyText"/>
              </w:pPr>
              <w:r>
                <w:rPr>
                  <w:color w:val="000000"/>
                  <w:vertAlign w:val="superscript"/>
                </w:rPr>
                <w:t xml:space="preserve">[137]</w:t>
              </w:r>
              <w:r>
                <w:t xml:space="preserve">    </w:t>
              </w:r>
              <w:r>
                <w:rPr>
                  <w:i/>
                </w:rPr>
                <w:t xml:space="preserve">HKSAR v. Liang Yaoqiang</w:t>
              </w:r>
              <w:r>
                <w:t xml:space="preserve"> [2020] HKCA 941, paragraph 156.</w:t>
              </w:r>
            </w:p>
            <w:p>
              <w:pPr>
                <w:pStyle w:val="BodyText"/>
              </w:pPr>
              <w:r>
                <w:rPr>
                  <w:color w:val="000000"/>
                  <w:vertAlign w:val="superscript"/>
                </w:rPr>
                <w:t xml:space="preserve">[138]</w:t>
              </w:r>
              <w:r>
                <w:rPr>
                  <w:vertAlign w:val="superscript"/>
                </w:rPr>
                <w:t xml:space="preserve"> </w:t>
              </w:r>
              <w:r>
                <w:t xml:space="preserve">   </w:t>
              </w:r>
              <w:r>
                <w:rPr>
                  <w:i/>
                </w:rPr>
                <w:t xml:space="preserve">HKSAR v. Fan Tak Wan</w:t>
              </w:r>
              <w:r>
                <w:t xml:space="preserve"> (4 October 2007, CACC10/2007) paragraphs 19-20; </w:t>
              </w:r>
              <w:r>
                <w:rPr>
                  <w:i/>
                </w:rPr>
                <w:t xml:space="preserve">Secretary for Justice v. Lui Jiu</w:t>
              </w:r>
              <w:r>
                <w:t xml:space="preserve"> (14 December 1999, CAAR6/1999) [1995-2000] HKCLRT 322, paragraphs 10-11.</w:t>
              </w:r>
            </w:p>
            <w:p>
              <w:pPr>
                <w:pStyle w:val="BodyText"/>
              </w:pPr>
              <w:r>
                <w:rPr>
                  <w:color w:val="000000"/>
                  <w:vertAlign w:val="superscript"/>
                </w:rPr>
                <w:t xml:space="preserve">[139]</w:t>
              </w:r>
              <w:r>
                <w:t xml:space="preserve">    </w:t>
              </w:r>
              <w:r>
                <w:rPr>
                  <w:i/>
                </w:rPr>
                <w:t xml:space="preserve">HKSAR v. Yu Tim Hi</w:t>
              </w:r>
              <w:r>
                <w:t xml:space="preserve"> (2 December 2013, CACC170/2013).</w:t>
              </w:r>
            </w:p>
            <w:p>
              <w:pPr>
                <w:pStyle w:val="BodyText"/>
              </w:pPr>
              <w:r>
                <w:rPr>
                  <w:color w:val="000000"/>
                  <w:vertAlign w:val="superscript"/>
                </w:rPr>
                <w:t xml:space="preserve">[140]</w:t>
              </w:r>
              <w:r>
                <w:t xml:space="preserve">    </w:t>
              </w:r>
              <w:r>
                <w:rPr>
                  <w:i/>
                </w:rPr>
                <w:t xml:space="preserve">Secretary for Justice v. Lui Jiu</w:t>
              </w:r>
              <w:r>
                <w:t xml:space="preserve">.</w:t>
              </w:r>
            </w:p>
            <w:p>
              <w:pPr>
                <w:pStyle w:val="BodyText"/>
              </w:pPr>
              <w:r>
                <w:rPr>
                  <w:color w:val="000000"/>
                  <w:vertAlign w:val="superscript"/>
                </w:rPr>
                <w:t xml:space="preserve">[141]</w:t>
              </w:r>
              <w:r>
                <w:rPr>
                  <w:vertAlign w:val="superscript"/>
                </w:rPr>
                <w:t xml:space="preserve"> </w:t>
              </w:r>
              <w:r>
                <w:t xml:space="preserve">   </w:t>
              </w:r>
              <w:r>
                <w:rPr>
                  <w:i/>
                </w:rPr>
                <w:t xml:space="preserve">Attorney General v. Lau Ching-yau</w:t>
              </w:r>
              <w:r>
                <w:t xml:space="preserve">, CAAR 11/1991.</w:t>
              </w:r>
            </w:p>
            <w:p>
              <w:pPr>
                <w:pStyle w:val="BodyText"/>
              </w:pPr>
              <w:r>
                <w:rPr>
                  <w:color w:val="000000"/>
                  <w:vertAlign w:val="superscript"/>
                </w:rPr>
                <w:t xml:space="preserve">[142]</w:t>
              </w:r>
              <w:r>
                <w:rPr>
                  <w:vertAlign w:val="superscript"/>
                </w:rPr>
                <w:t xml:space="preserve"> </w:t>
              </w:r>
              <w:r>
                <w:t xml:space="preserve">   </w:t>
              </w:r>
              <w:r>
                <w:rPr>
                  <w:i/>
                </w:rPr>
                <w:t xml:space="preserve">HKSAR v. Chan Chun Tat</w:t>
              </w:r>
              <w:r>
                <w:t xml:space="preserve">; </w:t>
              </w:r>
              <w:r>
                <w:rPr>
                  <w:i/>
                </w:rPr>
                <w:t xml:space="preserve">HKSAR v. Fan Tak Wan</w:t>
              </w:r>
              <w:r>
                <w:t xml:space="preserve">; </w:t>
              </w:r>
              <w:r>
                <w:rPr>
                  <w:i/>
                </w:rPr>
                <w:t xml:space="preserve">Secretary for Justice v. Lui Jiu</w:t>
              </w:r>
              <w:r>
                <w:t xml:space="preserve">; </w:t>
              </w:r>
              <w:r>
                <w:rPr>
                  <w:i/>
                </w:rPr>
                <w:t xml:space="preserve">Attorney General v. Lau Ching-yau</w:t>
              </w:r>
              <w:r>
                <w:t xml:space="preserve">; </w:t>
              </w:r>
              <w:r>
                <w:rPr>
                  <w:i/>
                </w:rPr>
                <w:t xml:space="preserve">HKSAR v. Chou Hsing-kuo</w:t>
              </w:r>
              <w:r>
                <w:t xml:space="preserve">, CACC 79/1999; </w:t>
              </w:r>
              <w:r>
                <w:rPr>
                  <w:i/>
                </w:rPr>
                <w:t xml:space="preserve">HKSAR v. Un Sut Ha</w:t>
              </w:r>
              <w:r>
                <w:t xml:space="preserve"> (7 March 2017, DCCC 1112/2016) [2017] HKCU 941.</w:t>
              </w:r>
            </w:p>
            <w:p>
              <w:pPr>
                <w:pStyle w:val="BodyText"/>
              </w:pPr>
              <w:r>
                <w:rPr>
                  <w:color w:val="000000"/>
                  <w:vertAlign w:val="superscript"/>
                </w:rPr>
                <w:t xml:space="preserve">[143]</w:t>
              </w:r>
              <w:r>
                <w:rPr>
                  <w:vertAlign w:val="superscript"/>
                </w:rPr>
                <w:t xml:space="preserve"> </w:t>
              </w:r>
              <w:r>
                <w:t xml:space="preserve">   </w:t>
              </w:r>
              <w:r>
                <w:t xml:space="preserve">See </w:t>
              </w:r>
              <w:r>
                <w:rPr>
                  <w:i/>
                </w:rPr>
                <w:t xml:space="preserve">HKSAR v. Un Sut Ha</w:t>
              </w:r>
              <w:r>
                <w:t xml:space="preserve"> citing </w:t>
              </w:r>
              <w:r>
                <w:rPr>
                  <w:i/>
                </w:rPr>
                <w:t xml:space="preserve">HKSAR v. Wong Luk Sau</w:t>
              </w:r>
              <w:r>
                <w:t xml:space="preserve"> [2013] 2 HKLRD 201.</w:t>
              </w:r>
            </w:p>
            <w:p>
              <w:pPr>
                <w:pStyle w:val="BodyText"/>
              </w:pPr>
              <w:r>
                <w:rPr>
                  <w:color w:val="000000"/>
                  <w:vertAlign w:val="superscript"/>
                </w:rPr>
                <w:t xml:space="preserve">[144]</w:t>
              </w:r>
              <w:r>
                <w:rPr>
                  <w:vertAlign w:val="superscript"/>
                </w:rPr>
                <w:t xml:space="preserve"> </w:t>
              </w:r>
              <w:r>
                <w:t xml:space="preserve">   </w:t>
              </w:r>
              <w:r>
                <w:t xml:space="preserve">Section 5(1) of DCRVO.</w:t>
              </w:r>
            </w:p>
            <w:p>
              <w:pPr>
                <w:pStyle w:val="BodyText"/>
              </w:pPr>
              <w:r>
                <w:rPr>
                  <w:color w:val="000000"/>
                  <w:vertAlign w:val="superscript"/>
                </w:rPr>
                <w:t xml:space="preserve">[145]</w:t>
              </w:r>
              <w:r>
                <w:t xml:space="preserve">    </w:t>
              </w:r>
              <w:r>
                <w:t xml:space="preserve">Sections 5(1A) and 5(1B) of DCRVO.</w:t>
              </w:r>
            </w:p>
            <w:p>
              <w:pPr>
                <w:pStyle w:val="BodyText"/>
              </w:pPr>
              <w:r>
                <w:rPr>
                  <w:color w:val="000000"/>
                  <w:vertAlign w:val="superscript"/>
                </w:rPr>
                <w:t xml:space="preserve">[146]</w:t>
              </w:r>
              <w:r>
                <w:rPr>
                  <w:vertAlign w:val="superscript"/>
                </w:rPr>
                <w:t xml:space="preserve"> </w:t>
              </w:r>
              <w:r>
                <w:t xml:space="preserve">   </w:t>
              </w:r>
              <w:r>
                <w:t xml:space="preserve">Section 5(3) of DCRVO. See also </w:t>
              </w:r>
              <w:hyperlink w:history="true" r:id="R0ab9dd1aa79c4331">
                <w:r>
                  <w:rPr>
                    <w:rStyle w:val="Hyperlink"/>
                  </w:rPr>
                  <w:t xml:space="preserve">https://familyclic.hk/en/topics/Daily-lives-legal-issues/Domestic-violence-and-assistance/Domestic-and-Cohabitation-Relationships-Violence-Ordinance/</w:t>
                </w:r>
              </w:hyperlink>
              <w:r>
                <w:t xml:space="preserve">.</w:t>
              </w:r>
            </w:p>
            <w:p>
              <w:pPr>
                <w:pStyle w:val="BodyText"/>
              </w:pPr>
              <w:r>
                <w:rPr>
                  <w:color w:val="000000"/>
                  <w:vertAlign w:val="superscript"/>
                </w:rPr>
                <w:t xml:space="preserve">[147]</w:t>
              </w:r>
              <w:r>
                <w:rPr>
                  <w:vertAlign w:val="superscript"/>
                </w:rPr>
                <w:t xml:space="preserve"> </w:t>
              </w:r>
              <w:r>
                <w:t xml:space="preserve">   </w:t>
              </w:r>
              <w:r>
                <w:t xml:space="preserve">Section 7 of DCRVO.</w:t>
              </w:r>
            </w:p>
            <w:p>
              <w:pPr>
                <w:pStyle w:val="BodyText"/>
              </w:pPr>
              <w:r>
                <w:rPr>
                  <w:color w:val="000000"/>
                  <w:vertAlign w:val="superscript"/>
                </w:rPr>
                <w:t xml:space="preserve">[148]</w:t>
              </w:r>
              <w:r>
                <w:rPr>
                  <w:vertAlign w:val="superscript"/>
                </w:rPr>
                <w:t xml:space="preserve"> </w:t>
              </w:r>
              <w:r>
                <w:t xml:space="preserve">   </w:t>
              </w:r>
              <w:r>
                <w:t xml:space="preserve">See Probation of Abusers Ordinance (Cap. 298).</w:t>
              </w:r>
            </w:p>
            <w:p>
              <w:pPr>
                <w:pStyle w:val="BodyText"/>
              </w:pPr>
              <w:r>
                <w:rPr>
                  <w:color w:val="000000"/>
                  <w:vertAlign w:val="superscript"/>
                </w:rPr>
                <w:t xml:space="preserve">[149]</w:t>
              </w:r>
              <w:r>
                <w:rPr>
                  <w:vertAlign w:val="superscript"/>
                </w:rPr>
                <w:t xml:space="preserve"> </w:t>
              </w:r>
              <w:r>
                <w:t xml:space="preserve">   </w:t>
              </w:r>
              <w:r>
                <w:rPr>
                  <w:i/>
                </w:rPr>
                <w:t xml:space="preserve">Lau Wai Wo v. HKSAR</w:t>
              </w:r>
              <w:r>
                <w:t xml:space="preserve"> [2004] 1 HKLRD 372.</w:t>
              </w:r>
            </w:p>
            <w:p>
              <w:pPr>
                <w:pStyle w:val="BodyText"/>
              </w:pPr>
              <w:r>
                <w:rPr>
                  <w:color w:val="000000"/>
                  <w:vertAlign w:val="superscript"/>
                </w:rPr>
                <w:t xml:space="preserve">[150]</w:t>
              </w:r>
              <w:r>
                <w:rPr>
                  <w:vertAlign w:val="superscript"/>
                </w:rPr>
                <w:t xml:space="preserve"> </w:t>
              </w:r>
              <w:r>
                <w:t xml:space="preserve">   </w:t>
              </w:r>
              <w:r>
                <w:t xml:space="preserve">Department of Justice, </w:t>
              </w:r>
              <w:hyperlink w:history="true" r:id="R1e7eeba814bd4170">
                <w:r>
                  <w:rPr>
                    <w:rStyle w:val="Hyperlink"/>
                  </w:rPr>
                  <w:t xml:space="preserve">https://www.doj.gov.hk/en/publications/domesticviolence_11.html</w:t>
                </w:r>
              </w:hyperlink>
              <w:r>
                <w:t xml:space="preserve">. </w:t>
              </w:r>
            </w:p>
            <w:p>
              <w:pPr>
                <w:pStyle w:val="BodyText"/>
              </w:pPr>
              <w:r>
                <w:rPr>
                  <w:color w:val="000000"/>
                  <w:vertAlign w:val="superscript"/>
                </w:rPr>
                <w:t xml:space="preserve">[151]</w:t>
              </w:r>
              <w:r>
                <w:rPr>
                  <w:vertAlign w:val="superscript"/>
                </w:rPr>
                <w:t xml:space="preserve"> </w:t>
              </w:r>
              <w:r>
                <w:t xml:space="preserve">   </w:t>
              </w:r>
              <w:r>
                <w:t xml:space="preserve">Hong Kong Police Force, </w:t>
              </w:r>
              <w:hyperlink w:history="true" r:id="Rd16332ec997c457d">
                <w:r>
                  <w:rPr>
                    <w:rStyle w:val="Hyperlink"/>
                  </w:rPr>
                  <w:t xml:space="preserve">https://www.police.gov.hk/ppp_en/04_crime_matters/vic_charter.html</w:t>
                </w:r>
              </w:hyperlink>
              <w:r>
                <w:t xml:space="preserve">.</w:t>
              </w:r>
            </w:p>
            <w:p>
              <w:pPr>
                <w:pStyle w:val="BodyText"/>
              </w:pPr>
              <w:r>
                <w:rPr>
                  <w:color w:val="000000"/>
                  <w:vertAlign w:val="superscript"/>
                </w:rPr>
                <w:t xml:space="preserve">[152]</w:t>
              </w:r>
              <w:r>
                <w:rPr>
                  <w:vertAlign w:val="superscript"/>
                </w:rPr>
                <w:t xml:space="preserve"> </w:t>
              </w:r>
              <w:r>
                <w:t xml:space="preserve">   </w:t>
              </w:r>
              <w:r>
                <w:rPr>
                  <w:i/>
                </w:rPr>
                <w:t xml:space="preserve">HKSAR v. Coady</w:t>
              </w:r>
              <w:r>
                <w:t xml:space="preserve"> (No 2) [2000] 3 HKC 570; </w:t>
              </w:r>
              <w:r>
                <w:rPr>
                  <w:i/>
                </w:rPr>
                <w:t xml:space="preserve">HKSAR v. Li So‑Man</w:t>
              </w:r>
              <w:r>
                <w:t xml:space="preserve"> CACC 609/1999; </w:t>
              </w:r>
              <w:r>
                <w:rPr>
                  <w:i/>
                </w:rPr>
                <w:t xml:space="preserve">HKSAR v. Nancy Ann Kissel</w:t>
              </w:r>
              <w:r>
                <w:t xml:space="preserve"> CACC 66/2012.</w:t>
              </w:r>
            </w:p>
            <w:p>
              <w:pPr>
                <w:pStyle w:val="BodyText"/>
              </w:pPr>
              <w:r>
                <w:rPr>
                  <w:color w:val="000000"/>
                  <w:vertAlign w:val="superscript"/>
                </w:rPr>
                <w:t xml:space="preserve">[153]</w:t>
              </w:r>
              <w:r>
                <w:rPr>
                  <w:vertAlign w:val="superscript"/>
                </w:rPr>
                <w:t xml:space="preserve"> </w:t>
              </w:r>
              <w:r>
                <w:t xml:space="preserve">   </w:t>
              </w:r>
              <w:r>
                <w:t xml:space="preserve">During the COVID-19 pandemic, there have been a surge in domestic violence cases reported during the lockdown period: </w:t>
              </w:r>
              <w:hyperlink w:history="true" r:id="Rf85e210481234d36">
                <w:r>
                  <w:rPr>
                    <w:rStyle w:val="Hyperlink"/>
                  </w:rPr>
                  <w:t xml:space="preserve">https://news.rthk.hk/rthk/en/component/k2/1526544-20200516.htm</w:t>
                </w:r>
              </w:hyperlink>
              <w:r>
                <w:t xml:space="preserve">; </w:t>
              </w:r>
              <w:hyperlink w:history="true" r:id="R000c16cc8ccb4e30">
                <w:r>
                  <w:rPr>
                    <w:rStyle w:val="Hyperlink"/>
                  </w:rPr>
                  <w:t xml:space="preserve">https://www.chinadailyhk.com/article/145062#Pain-in-proximity-as-pandemic-pushes-up-domestic-abuse-in-HK</w:t>
                </w:r>
              </w:hyperlink>
              <w:r>
                <w:t xml:space="preserve">; </w:t>
              </w:r>
              <w:hyperlink w:history="true" r:id="R90a35698e9e94dc1">
                <w:r>
                  <w:rPr>
                    <w:rStyle w:val="Hyperlink"/>
                  </w:rPr>
                  <w:t xml:space="preserve">https://www.scmp.com/news/hong-kong/society/article/3084565/isolated-during-covid-19-hong-kongs-victims-sexual-violence</w:t>
                </w:r>
              </w:hyperlink>
              <w:r>
                <w:t xml:space="preserve">; </w:t>
              </w:r>
              <w:hyperlink w:history="true" r:id="Ref82d718d94c420d">
                <w:r>
                  <w:rPr>
                    <w:rStyle w:val="Hyperlink"/>
                  </w:rPr>
                  <w:t xml:space="preserve">https://www.scmp.com/news/hong-kong/health-environment/article/3079338/stuck-home-monster-more-reports-violence-against</w:t>
                </w:r>
              </w:hyperlink>
              <w:r>
                <w:t xml:space="preserve">.</w:t>
              </w:r>
            </w:p>
            <w:p>
              <w:pPr>
                <w:pStyle w:val="BodyText"/>
              </w:pPr>
              <w:r>
                <w:rPr>
                  <w:color w:val="000000"/>
                  <w:vertAlign w:val="superscript"/>
                </w:rPr>
                <w:t xml:space="preserve">[154]</w:t>
              </w:r>
              <w:r>
                <w:rPr>
                  <w:vertAlign w:val="superscript"/>
                </w:rPr>
                <w:t xml:space="preserve"> </w:t>
              </w:r>
              <w:r>
                <w:t xml:space="preserve">   </w:t>
              </w:r>
              <w:r>
                <w:t xml:space="preserve">Occupational Safety and Health Ordinance (Cap 509) (OSHO).</w:t>
              </w:r>
            </w:p>
            <w:p>
              <w:pPr>
                <w:pStyle w:val="BodyText"/>
              </w:pPr>
              <w:r>
                <w:rPr>
                  <w:color w:val="000000"/>
                  <w:vertAlign w:val="superscript"/>
                </w:rPr>
                <w:t xml:space="preserve">[155]</w:t>
              </w:r>
              <w:r>
                <w:t xml:space="preserve">    </w:t>
              </w:r>
              <w:r>
                <w:t xml:space="preserve">Section 10, Employment Ordinance (Cap. 57) (EO).</w:t>
              </w:r>
            </w:p>
            <w:p>
              <w:pPr>
                <w:pStyle w:val="BodyText"/>
              </w:pPr>
              <w:r>
                <w:rPr>
                  <w:color w:val="000000"/>
                  <w:vertAlign w:val="superscript"/>
                </w:rPr>
                <w:t xml:space="preserve">[156]</w:t>
              </w:r>
              <w:r>
                <w:rPr>
                  <w:vertAlign w:val="superscript"/>
                </w:rPr>
                <w:t xml:space="preserve"> </w:t>
              </w:r>
              <w:r>
                <w:t xml:space="preserve">   </w:t>
              </w:r>
              <w:r>
                <w:t xml:space="preserve">Section 10, EO, which is also incorporated into Standard Employment Contract (ID 407).</w:t>
              </w:r>
            </w:p>
            <w:p>
              <w:pPr>
                <w:pStyle w:val="BodyText"/>
              </w:pPr>
              <w:r>
                <w:rPr>
                  <w:color w:val="000000"/>
                  <w:vertAlign w:val="superscript"/>
                </w:rPr>
                <w:t xml:space="preserve">[157]</w:t>
              </w:r>
              <w:r>
                <w:rPr>
                  <w:vertAlign w:val="superscript"/>
                </w:rPr>
                <w:t xml:space="preserve"> </w:t>
              </w:r>
              <w:r>
                <w:t xml:space="preserve">   </w:t>
              </w:r>
              <w:r>
                <w:t xml:space="preserve">Friendly Employment Practices for Mature Persons and Families &lt;</w:t>
              </w:r>
              <w:hyperlink w:history="true" r:id="Rd7b99e2a2a4c4d46">
                <w:r>
                  <w:rPr>
                    <w:rStyle w:val="Hyperlink"/>
                  </w:rPr>
                  <w:t xml:space="preserve">https://www.labour.gov.hk/eng/public/Friendly_Employment_Practices_for_Mature_Persons_and_Families_ENG.pdf</w:t>
                </w:r>
              </w:hyperlink>
              <w:r>
                <w:t xml:space="preserve">&gt;; Good People Management and Family-Friendly Employment Practices &lt;</w:t>
              </w:r>
              <w:hyperlink w:history="true" r:id="Rbf44dc0668cc4c96">
                <w:r>
                  <w:rPr>
                    <w:rStyle w:val="Hyperlink"/>
                  </w:rPr>
                  <w:t xml:space="preserve">https://www.labour.gov.hk/eng/public/wcp/FamilyCasebook.pdf</w:t>
                </w:r>
              </w:hyperlink>
              <w:r>
                <w:t xml:space="preserve">&gt;.</w:t>
              </w:r>
            </w:p>
            <w:p>
              <w:pPr>
                <w:pStyle w:val="BodyText"/>
              </w:pPr>
              <w:r>
                <w:rPr>
                  <w:color w:val="000000"/>
                  <w:vertAlign w:val="superscript"/>
                </w:rPr>
                <w:t xml:space="preserve">[158]</w:t>
              </w:r>
              <w:r>
                <w:t xml:space="preserve">    </w:t>
              </w:r>
              <w:r>
                <w:t xml:space="preserve">Lexology (2020) "Employment and employee benefits in Hong Kong," Page 16. </w:t>
              </w:r>
            </w:p>
            <w:p>
              <w:pPr>
                <w:pStyle w:val="BodyText"/>
              </w:pPr>
              <w:r>
                <w:rPr>
                  <w:color w:val="000000"/>
                  <w:vertAlign w:val="superscript"/>
                </w:rPr>
                <w:t xml:space="preserve">[159]</w:t>
              </w:r>
              <w:r>
                <w:rPr>
                  <w:vertAlign w:val="superscript"/>
                </w:rPr>
                <w:t xml:space="preserve"> </w:t>
              </w:r>
              <w:r>
                <w:t xml:space="preserve">   </w:t>
              </w:r>
              <w:r>
                <w:t xml:space="preserve">Section 2 of the Family Status Discrimination Ordinance (Cap 527) (FSDO).</w:t>
              </w:r>
            </w:p>
            <w:p>
              <w:pPr>
                <w:pStyle w:val="BodyText"/>
              </w:pPr>
              <w:r>
                <w:rPr>
                  <w:color w:val="000000"/>
                  <w:vertAlign w:val="superscript"/>
                </w:rPr>
                <w:t xml:space="preserve">[160]</w:t>
              </w:r>
              <w:r>
                <w:rPr>
                  <w:vertAlign w:val="superscript"/>
                </w:rPr>
                <w:t xml:space="preserve"> </w:t>
              </w:r>
              <w:r>
                <w:t xml:space="preserve">   </w:t>
              </w:r>
              <w:r>
                <w:t xml:space="preserve">FSDO.</w:t>
              </w:r>
            </w:p>
            <w:p>
              <w:pPr>
                <w:pStyle w:val="BodyText"/>
              </w:pPr>
              <w:r>
                <w:rPr>
                  <w:color w:val="000000"/>
                  <w:vertAlign w:val="superscript"/>
                </w:rPr>
                <w:t xml:space="preserve">[161]</w:t>
              </w:r>
              <w:r>
                <w:t xml:space="preserve">    </w:t>
              </w:r>
              <w:r>
                <w:t xml:space="preserve">Immigration Department, Dependants (2021) </w:t>
              </w:r>
            </w:p>
            <w:p>
              <w:pPr>
                <w:pStyle w:val="BodyText"/>
              </w:pPr>
              <w:pPr>
                <w:ind w:left="432"/>
              </w:pPr>
              <w:r>
                <w:t xml:space="preserve">&lt; </w:t>
              </w:r>
              <w:hyperlink w:history="true" r:id="Rc133b0220e4e41e5">
                <w:r>
                  <w:rPr>
                    <w:rStyle w:val="Hyperlink"/>
                  </w:rPr>
                  <w:t xml:space="preserve">https://www.immd.gov.hk/eng/services/visas/residence_as_dependant.html</w:t>
                </w:r>
              </w:hyperlink>
              <w:r>
                <w:t xml:space="preserve">&gt; (last accessed 29 January 2021).</w:t>
              </w:r>
            </w:p>
            <w:p>
              <w:pPr>
                <w:pStyle w:val="BodyText"/>
              </w:pPr>
              <w:r>
                <w:rPr>
                  <w:color w:val="000000"/>
                  <w:vertAlign w:val="superscript"/>
                </w:rPr>
                <w:t xml:space="preserve">[162]</w:t>
              </w:r>
              <w:r>
                <w:t xml:space="preserve">    </w:t>
              </w:r>
              <w:r>
                <w:t xml:space="preserve">Article 14, the Basic Law of the Hong Kong Special Administrative Region of the People's Republic of China.</w:t>
              </w:r>
            </w:p>
            <w:p>
              <w:pPr>
                <w:pStyle w:val="BodyText"/>
              </w:pPr>
              <w:r>
                <w:rPr>
                  <w:color w:val="000000"/>
                  <w:vertAlign w:val="superscript"/>
                </w:rPr>
                <w:t xml:space="preserve">[163]</w:t>
              </w:r>
              <w:r>
                <w:t xml:space="preserve">    </w:t>
              </w:r>
              <w:r>
                <w:t xml:space="preserve">Section 7A of DCRVO.</w:t>
              </w:r>
            </w:p>
            <w:p>
              <w:pPr>
                <w:pStyle w:val="BodyText"/>
              </w:pPr>
              <w:r>
                <w:rPr>
                  <w:color w:val="000000"/>
                  <w:vertAlign w:val="superscript"/>
                </w:rPr>
                <w:t xml:space="preserve">[164]</w:t>
              </w:r>
              <w:r>
                <w:rPr>
                  <w:vertAlign w:val="superscript"/>
                </w:rPr>
                <w:t xml:space="preserve"> </w:t>
              </w:r>
              <w:r>
                <w:t xml:space="preserve">   </w:t>
              </w:r>
              <w:r>
                <w:t xml:space="preserve">Section 119V of Landlord and Tenant (Consolidation) Ordinance regarding Harassment.</w:t>
              </w:r>
            </w:p>
            <w:p>
              <w:pPr>
                <w:pStyle w:val="BodyText"/>
              </w:pPr>
              <w:r>
                <w:rPr>
                  <w:color w:val="000000"/>
                  <w:vertAlign w:val="superscript"/>
                </w:rPr>
                <w:t xml:space="preserve">[165]</w:t>
              </w:r>
              <w:r>
                <w:t xml:space="preserve">    </w:t>
              </w:r>
              <w:r>
                <w:rPr>
                  <w:i/>
                </w:rPr>
                <w:t xml:space="preserve">Union Assurance Society of Canton v. The Hong Kong Land Co Ltd</w:t>
              </w:r>
              <w:r>
                <w:t xml:space="preserve"> </w:t>
              </w:r>
              <w:r>
                <w:t xml:space="preserve">(05/12/1977), HCA 386/1977.</w:t>
              </w:r>
            </w:p>
            <w:p>
              <w:pPr>
                <w:pStyle w:val="BodyText"/>
              </w:pPr>
              <w:r>
                <w:rPr>
                  <w:color w:val="000000"/>
                  <w:vertAlign w:val="superscript"/>
                </w:rPr>
                <w:t xml:space="preserve">[166]</w:t>
              </w:r>
              <w:r>
                <w:rPr>
                  <w:vertAlign w:val="superscript"/>
                </w:rPr>
                <w:t xml:space="preserve">  </w:t>
              </w:r>
              <w:r>
                <w:t xml:space="preserve">  </w:t>
              </w:r>
              <w:r>
                <w:rPr>
                  <w:i/>
                </w:rPr>
                <w:t xml:space="preserve">Lam Kwok-leung v. AG </w:t>
              </w:r>
              <w:r>
                <w:t xml:space="preserve">[1979] HKLR 145.</w:t>
              </w:r>
            </w:p>
            <w:p>
              <w:pPr>
                <w:pStyle w:val="BodyText"/>
              </w:pPr>
              <w:r>
                <w:rPr>
                  <w:color w:val="000000"/>
                  <w:vertAlign w:val="superscript"/>
                </w:rPr>
                <w:t xml:space="preserve">[167]</w:t>
              </w:r>
              <w:r>
                <w:rPr>
                  <w:vertAlign w:val="superscript"/>
                </w:rPr>
                <w:t xml:space="preserve"> </w:t>
              </w:r>
              <w:r>
                <w:t xml:space="preserve">   </w:t>
              </w:r>
              <w:r>
                <w:t xml:space="preserve">There is currently no relevant case law.</w:t>
              </w:r>
            </w:p>
            <w:p>
              <w:pPr>
                <w:pStyle w:val="BodyText"/>
              </w:pPr>
              <w:r>
                <w:rPr>
                  <w:color w:val="000000"/>
                  <w:vertAlign w:val="superscript"/>
                </w:rPr>
                <w:t xml:space="preserve">[168]</w:t>
              </w:r>
              <w:r>
                <w:t xml:space="preserve">    </w:t>
              </w:r>
              <w:r>
                <w:t xml:space="preserve">An injunction affecting land does not run with the land but is against a particular person (</w:t>
              </w:r>
              <w:r>
                <w:t xml:space="preserve">Halsbury's Laws of England</w:t>
              </w:r>
              <w:r>
                <w:t xml:space="preserve"> (5th Edn) Vol 12</w:t>
              </w:r>
              <w:r>
                <w:t xml:space="preserve">). Further, such injunction is neither capable of creating any interest in land nor registrable under the Land Registration Ordinance (Cap. 128) (Section 10</w:t>
              </w:r>
              <w:r>
                <w:t xml:space="preserve"> of</w:t>
              </w:r>
              <w:r>
                <w:t xml:space="preserve"> DCRVO).</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lwb.gov.hk/CEDAW/documents/CEDAW_2nd_comment_full_E.pdf" TargetMode="External" Id="R2cce320806234c30" /><Relationship Type="http://schemas.openxmlformats.org/officeDocument/2006/relationships/hyperlink" Target="https://www.lwb.gov.hk/CEDAW/documents/CEDAW%20Concluding%20Comments%203rd%20Hearing%20(Full).pdf" TargetMode="External" Id="R29fbd0129f554700" /><Relationship Type="http://schemas.openxmlformats.org/officeDocument/2006/relationships/hyperlink" Target="https://www.doj.gov.hk/eng/public/pubppcdv.html" TargetMode="External" Id="Rc8680c01fd6d4282" /><Relationship Type="http://schemas.openxmlformats.org/officeDocument/2006/relationships/hyperlink" Target="https://www.swd.gov.hk/doc/fcw/proc_guidelines/battered_spouse/Acrobat%20Document%20(updated%20in%20August%202014).pdf" TargetMode="External" Id="R26ae8906302f4e6c" /><Relationship Type="http://schemas.openxmlformats.org/officeDocument/2006/relationships/hyperlink" Target="https://www.hkreform.gov.hk/en/docs/rstalks-e.pdf" TargetMode="External" Id="R9c3667babf64441f" /><Relationship Type="http://schemas.openxmlformats.org/officeDocument/2006/relationships/hyperlink" Target="https://www.doj.gov.hk/en/publications/pdf/vcc_e.pdf" TargetMode="External" Id="R63dada0a9a004d8e" /><Relationship Type="http://schemas.openxmlformats.org/officeDocument/2006/relationships/hyperlink" Target="https://www.swd.gov.hk/doc/fcw/proc_guidelines/battered_spouse/Acrobat%20Document%20(updated%20in%20August%202014).pdf" TargetMode="External" Id="R719ca36cd9604143" /><Relationship Type="http://schemas.openxmlformats.org/officeDocument/2006/relationships/hyperlink" Target="https://www.clic.org.hk/glossary.html#cause_of_action" TargetMode="External" Id="R4980bbbc25944ef3" /><Relationship Type="http://schemas.openxmlformats.org/officeDocument/2006/relationships/hyperlink" Target="https://www.legco.gov.hk/yr16-17/english/panels/ajls/papers/ajls20170718-cppr20170626-e.pdf" TargetMode="External" Id="Rfbb6dd4e21b743a9" /><Relationship Type="http://schemas.openxmlformats.org/officeDocument/2006/relationships/hyperlink" Target="https://www.swd.gov.hk/doc/fcw/proc_guidelines/battered_spouse/Acrobat%20Document%20(updated%20in%20August%202014).pdf" TargetMode="External" Id="R5e85de3f724a4f44" /><Relationship Type="http://schemas.openxmlformats.org/officeDocument/2006/relationships/hyperlink" Target="https://www.swd.gov.hk/storage/asset/section/1447/en/Procedural_Guide_Core_Procedures_(Revised_2020)_Eng_12May2020.pdf" TargetMode="External" Id="R6d74e2f2b84e4e09" /><Relationship Type="http://schemas.openxmlformats.org/officeDocument/2006/relationships/hyperlink" Target="https://www.swd.gov.hk/storage/asset/section/3119/en/Procedural_Guidelines_for_Handling_Elder_Abuse_Cases_(Revised_2019)_ch_20200901.pdf" TargetMode="External" Id="R146d72bbceaf423f" /><Relationship Type="http://schemas.openxmlformats.org/officeDocument/2006/relationships/hyperlink" Target="https://www.judiciary.hk/en/court_services_facilities/dov.html" TargetMode="External" Id="R4eef142ba0fb4afa" /><Relationship Type="http://schemas.openxmlformats.org/officeDocument/2006/relationships/hyperlink" Target="https://www.judiciary.hk/en/court_services_facilities/dov.html#9" TargetMode="External" Id="Rf0c62a2775ae4bc0" /><Relationship Type="http://schemas.openxmlformats.org/officeDocument/2006/relationships/hyperlink" Target="https://www.judiciary.hk/en/court_services_facilities/dov.html" TargetMode="External" Id="Rb455c47d13544853" /><Relationship Type="http://schemas.openxmlformats.org/officeDocument/2006/relationships/hyperlink" Target="https://www.swd.gov.hk/doc/fcw/proc_guidelines/battered_spouse/Chapter%205%20(Eng)%2024042013.pdf" TargetMode="External" Id="R36031cfbb0c14273" /><Relationship Type="http://schemas.openxmlformats.org/officeDocument/2006/relationships/hyperlink" Target="https://www.swd.gov.hk/doc/fcw/proc_guidelines/battered_spouse/Chapter%206%20(Eng)%2024042013.pdf" TargetMode="External" Id="R0aa16300364e4e2b" /><Relationship Type="http://schemas.openxmlformats.org/officeDocument/2006/relationships/hyperlink" Target="https://www.swd.gov.hk/doc/fcw/proc_guidelines/battered_spouse/Acrobat%20Document%20(updated%20in%20August%202014).pdf" TargetMode="External" Id="R4408d079429e4f60" /><Relationship Type="http://schemas.openxmlformats.org/officeDocument/2006/relationships/hyperlink" Target="https://familyclic.hk/en/topics/Daily-lives-legal-issues/Domestic-violence-and-assistance/Victims-of-domestic-violence-might-be-required-to-give-evidence/#content" TargetMode="External" Id="Rd7446320deba42f7" /><Relationship Type="http://schemas.openxmlformats.org/officeDocument/2006/relationships/hyperlink" Target="https://familyclic.hk/en/topics/Daily-lives-legal-issues/Domestic-violence-and-assistance/Domestic-and-Cohabitation-Relationships-Violence-Ordinance/" TargetMode="External" Id="R0ab9dd1aa79c4331" /><Relationship Type="http://schemas.openxmlformats.org/officeDocument/2006/relationships/hyperlink" Target="https://www.doj.gov.hk/en/publications/domesticviolence_11.html" TargetMode="External" Id="R1e7eeba814bd4170" /><Relationship Type="http://schemas.openxmlformats.org/officeDocument/2006/relationships/hyperlink" Target="https://www.police.gov.hk/ppp_en/04_crime_matters/vic_charter.html" TargetMode="External" Id="Rd16332ec997c457d" /><Relationship Type="http://schemas.openxmlformats.org/officeDocument/2006/relationships/hyperlink" Target="https://news.rthk.hk/rthk/en/component/k2/1526544-20200516.htm" TargetMode="External" Id="Rf85e210481234d36" /><Relationship Type="http://schemas.openxmlformats.org/officeDocument/2006/relationships/hyperlink" Target="https://www.chinadailyhk.com/article/145062#Pain-in-proximity-as-pandemic-pushes-up-domestic-abuse-in-HK" TargetMode="External" Id="R000c16cc8ccb4e30" /><Relationship Type="http://schemas.openxmlformats.org/officeDocument/2006/relationships/hyperlink" Target="https://www.scmp.com/news/hong-kong/society/article/3084565/isolated-during-covid-19-hong-kongs-victims-sexual-violence" TargetMode="External" Id="R90a35698e9e94dc1" /><Relationship Type="http://schemas.openxmlformats.org/officeDocument/2006/relationships/hyperlink" Target="https://www.scmp.com/news/hong-kong/health-environment/article/3079338/stuck-home-monster-more-reports-violence-against" TargetMode="External" Id="Ref82d718d94c420d" /><Relationship Type="http://schemas.openxmlformats.org/officeDocument/2006/relationships/hyperlink" Target="https://www.labour.gov.hk/eng/public/Friendly_Employment_Practices_for_Mature_Persons_and_Families_ENG.pdf%20" TargetMode="External" Id="Rd7b99e2a2a4c4d46" /><Relationship Type="http://schemas.openxmlformats.org/officeDocument/2006/relationships/hyperlink" Target="https://www.labour.gov.hk/eng/public/wcp/FamilyCasebook.pdf" TargetMode="External" Id="Rbf44dc0668cc4c96" /><Relationship Type="http://schemas.openxmlformats.org/officeDocument/2006/relationships/hyperlink" Target="https://www.immd.gov.hk/eng/services/visas/residence_as_dependant.html" TargetMode="External" Id="Rc133b0220e4e41e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