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USA - California</w:t>
      </w:r>
      <w:r w:rsidR="00480329"/>
    </w:p>
    <w:p w:rsidRPr="00BC7873" w:rsidR="00BC7873" w:rsidP="00D354EF" w:rsidRDefault="00051AB4" w14:paraId="2476CC56" w14:textId="2FB25FA9">
      <w:pPr>
        <w:pStyle w:val="Title"/>
      </w:pPr>
      <w:r w:rsidRPr="00BC7873">
        <w:t>7. Endnotes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vertAlign w:val="superscript"/>
                </w:rPr>
                <w:t xml:space="preserve">[1]</w:t>
              </w:r>
              <w:r>
                <w:t xml:space="preserve">   </w:t>
              </w:r>
              <w:r>
                <w:t xml:space="preserve">California Family Code (“</w:t>
              </w:r>
              <w:r>
                <w:rPr>
                  <w:b/>
                </w:rPr>
                <w:t xml:space="preserve">Family Code</w:t>
              </w:r>
              <w:r>
                <w:t xml:space="preserve">”) Section 6211.</w:t>
              </w:r>
            </w:p>
            <w:p>
              <w:pPr>
                <w:pStyle w:val="BodyText"/>
              </w:pPr>
              <w:r>
                <w:rPr>
                  <w:color w:val="000000"/>
                  <w:vertAlign w:val="superscript"/>
                </w:rPr>
                <w:t xml:space="preserve">[2]</w:t>
              </w:r>
              <w:r>
                <w:t xml:space="preserve">    </w:t>
              </w:r>
              <w:r>
                <w:t xml:space="preserve">Family Code Sections 6203 and 6320(a).</w:t>
              </w:r>
            </w:p>
            <w:p>
              <w:pPr>
                <w:pStyle w:val="BodyText"/>
              </w:pPr>
              <w:r>
                <w:rPr>
                  <w:color w:val="000000"/>
                  <w:vertAlign w:val="superscript"/>
                </w:rPr>
                <w:t xml:space="preserve">[3]</w:t>
              </w:r>
              <w:r>
                <w:t xml:space="preserve">    </w:t>
              </w:r>
              <w:r>
                <w:rPr>
                  <w:i/>
                </w:rPr>
                <w:t xml:space="preserve">People v. Ogle</w:t>
              </w:r>
              <w:r>
                <w:t xml:space="preserve">, 110 Cal.Rptr.3d 913, 185 Cal.App.4th 1138 (App. 2 Dist. 2010).</w:t>
              </w:r>
            </w:p>
            <w:p>
              <w:pPr>
                <w:pStyle w:val="BodyText"/>
              </w:pPr>
              <w:r>
                <w:rPr>
                  <w:color w:val="000000"/>
                  <w:vertAlign w:val="superscript"/>
                </w:rPr>
                <w:t xml:space="preserve">[4]</w:t>
              </w:r>
              <w:r>
                <w:t xml:space="preserve">    </w:t>
              </w:r>
              <w:hyperlink w:history="true" r:id="Rcbbd209711044603">
                <w:r>
                  <w:rPr>
                    <w:rStyle w:val="Hyperlink"/>
                  </w:rPr>
                  <w:t xml:space="preserve">Family Code 6211</w:t>
                </w:r>
              </w:hyperlink>
              <w:r>
                <w:t xml:space="preserve">.</w:t>
              </w:r>
            </w:p>
            <w:p>
              <w:pPr>
                <w:pStyle w:val="BodyText"/>
              </w:pPr>
              <w:r>
                <w:rPr>
                  <w:color w:val="000000"/>
                  <w:vertAlign w:val="superscript"/>
                </w:rPr>
                <w:t xml:space="preserve">[5]</w:t>
              </w:r>
              <w:r>
                <w:t xml:space="preserve">    </w:t>
              </w:r>
              <w:hyperlink w:history="true" r:id="R0035c7a2857d43b9">
                <w:r>
                  <w:rPr>
                    <w:rStyle w:val="Hyperlink"/>
                  </w:rPr>
                  <w:t xml:space="preserve">Penal Code Sections 240, 242 and 646.9</w:t>
                </w:r>
              </w:hyperlink>
              <w:r>
                <w:t xml:space="preserve">.</w:t>
              </w:r>
            </w:p>
            <w:p>
              <w:pPr>
                <w:pStyle w:val="BodyText"/>
              </w:pPr>
              <w:r>
                <w:rPr>
                  <w:color w:val="000000"/>
                  <w:vertAlign w:val="superscript"/>
                </w:rPr>
                <w:t xml:space="preserve">[6]</w:t>
              </w:r>
              <w:r>
                <w:t xml:space="preserve">    </w:t>
              </w:r>
              <w:hyperlink w:history="true" r:id="Ra0927a8f63f040d5">
                <w:r>
                  <w:rPr>
                    <w:rStyle w:val="Hyperlink"/>
                  </w:rPr>
                  <w:t xml:space="preserve">Ann.Cal.C.C.P. Section 527.6(b)-</w:t>
                </w:r>
              </w:hyperlink>
              <w:r>
                <w:t xml:space="preserve">.</w:t>
              </w:r>
              <w:r>
                <w:t xml:space="preserve"> Note: specific to seeking temporary restraining order. </w:t>
              </w:r>
            </w:p>
            <w:p>
              <w:pPr>
                <w:pStyle w:val="BodyText"/>
              </w:pPr>
              <w:r>
                <w:rPr>
                  <w:color w:val="000000"/>
                  <w:vertAlign w:val="superscript"/>
                </w:rPr>
                <w:t xml:space="preserve">[7]</w:t>
              </w:r>
              <w:r>
                <w:t xml:space="preserve">    </w:t>
              </w:r>
              <w:hyperlink w:history="true" r:id="R7fc6fb9a3e01498c">
                <w:r>
                  <w:rPr>
                    <w:rStyle w:val="Hyperlink"/>
                  </w:rPr>
                  <w:t xml:space="preserve">Family Code 6218</w:t>
                </w:r>
              </w:hyperlink>
              <w:r>
                <w:t xml:space="preserve">.</w:t>
              </w:r>
            </w:p>
            <w:p>
              <w:pPr>
                <w:pStyle w:val="BodyText"/>
              </w:pPr>
              <w:r>
                <w:rPr>
                  <w:color w:val="000000"/>
                  <w:vertAlign w:val="superscript"/>
                </w:rPr>
                <w:t xml:space="preserve">[8]</w:t>
              </w:r>
              <w:r>
                <w:t xml:space="preserve">    </w:t>
              </w:r>
              <w:hyperlink w:history="true" r:id="Rc4714ae81c4246b9">
                <w:r>
                  <w:rPr>
                    <w:rStyle w:val="Hyperlink"/>
                  </w:rPr>
                  <w:t xml:space="preserve">Penal Code 262</w:t>
                </w:r>
              </w:hyperlink>
              <w:r>
                <w:t xml:space="preserve">.</w:t>
              </w:r>
            </w:p>
            <w:p>
              <w:pPr>
                <w:pStyle w:val="BodyText"/>
              </w:pPr>
              <w:r>
                <w:rPr>
                  <w:color w:val="000000"/>
                  <w:vertAlign w:val="superscript"/>
                </w:rPr>
                <w:t xml:space="preserve">[9]</w:t>
              </w:r>
              <w:r>
                <w:t xml:space="preserve">    </w:t>
              </w:r>
              <w:hyperlink w:history="true" r:id="R228d015a17a84109">
                <w:r>
                  <w:rPr>
                    <w:rStyle w:val="Hyperlink"/>
                  </w:rPr>
                  <w:t xml:space="preserve">Family Code 6203</w:t>
                </w:r>
              </w:hyperlink>
              <w:r>
                <w:t xml:space="preserve">.</w:t>
              </w:r>
            </w:p>
            <w:p>
              <w:pPr>
                <w:pStyle w:val="BodyText"/>
              </w:pPr>
              <w:r>
                <w:rPr>
                  <w:color w:val="000000"/>
                  <w:vertAlign w:val="superscript"/>
                </w:rPr>
                <w:t xml:space="preserve">[10]</w:t>
              </w:r>
              <w:r>
                <w:t xml:space="preserve">    </w:t>
              </w:r>
              <w:r>
                <w:t xml:space="preserve">More info </w:t>
              </w:r>
              <w:hyperlink w:history="true" r:id="R545a3e5374684176">
                <w:r>
                  <w:rPr>
                    <w:rStyle w:val="Hyperlink"/>
                  </w:rPr>
                  <w:t xml:space="preserve">here</w:t>
                </w:r>
              </w:hyperlink>
              <w:r>
                <w:t xml:space="preserve">.</w:t>
              </w:r>
            </w:p>
            <w:p>
              <w:pPr>
                <w:pStyle w:val="BodyText"/>
              </w:pPr>
              <w:r>
                <w:rPr>
                  <w:color w:val="000000"/>
                  <w:vertAlign w:val="superscript"/>
                </w:rPr>
                <w:t xml:space="preserve">[11]</w:t>
              </w:r>
              <w:r>
                <w:t xml:space="preserve">    </w:t>
              </w:r>
              <w:hyperlink w:history="true" r:id="R13527bb008b3410d">
                <w:r>
                  <w:rPr>
                    <w:rStyle w:val="Hyperlink"/>
                  </w:rPr>
                  <w:t xml:space="preserve">Family Code 6320</w:t>
                </w:r>
              </w:hyperlink>
              <w:r>
                <w:t xml:space="preserve"> and 6323.</w:t>
              </w:r>
            </w:p>
            <w:p>
              <w:pPr>
                <w:pStyle w:val="BodyText"/>
              </w:pPr>
              <w:r>
                <w:rPr>
                  <w:color w:val="000000"/>
                  <w:vertAlign w:val="superscript"/>
                </w:rPr>
                <w:t xml:space="preserve">[12]</w:t>
              </w:r>
              <w:r>
                <w:t xml:space="preserve">    </w:t>
              </w:r>
              <w:hyperlink w:history="true" r:id="Rb25e9ecea4734842">
                <w:r>
                  <w:rPr>
                    <w:rStyle w:val="Hyperlink"/>
                  </w:rPr>
                  <w:t xml:space="preserve">Family Code 6321</w:t>
                </w:r>
              </w:hyperlink>
              <w:r>
                <w:t xml:space="preserve">.</w:t>
              </w:r>
            </w:p>
            <w:p>
              <w:pPr>
                <w:pStyle w:val="BodyText"/>
              </w:pPr>
              <w:r>
                <w:rPr>
                  <w:color w:val="000000"/>
                  <w:vertAlign w:val="superscript"/>
                </w:rPr>
                <w:t xml:space="preserve">[13]</w:t>
              </w:r>
              <w:r>
                <w:t xml:space="preserve">    </w:t>
              </w:r>
              <w:r>
                <w:t xml:space="preserve">Forms linked </w:t>
              </w:r>
              <w:hyperlink w:history="true" r:id="Re933ee6877024f30">
                <w:r>
                  <w:rPr>
                    <w:rStyle w:val="Hyperlink"/>
                  </w:rPr>
                  <w:t xml:space="preserve">here</w:t>
                </w:r>
              </w:hyperlink>
              <w:r>
                <w:t xml:space="preserve">.</w:t>
              </w:r>
            </w:p>
            <w:p>
              <w:pPr>
                <w:pStyle w:val="BodyText"/>
              </w:pPr>
              <w:r>
                <w:rPr>
                  <w:color w:val="000000"/>
                  <w:vertAlign w:val="superscript"/>
                </w:rPr>
                <w:t xml:space="preserve">[14]</w:t>
              </w:r>
              <w:r>
                <w:t xml:space="preserve">    http://www.courts.ca.gov</w:t>
              </w:r>
            </w:p>
            <w:p>
              <w:pPr>
                <w:pStyle w:val="BodyText"/>
              </w:pPr>
              <w:r>
                <w:rPr>
                  <w:color w:val="000000"/>
                  <w:vertAlign w:val="superscript"/>
                </w:rPr>
                <w:t xml:space="preserve">[15]</w:t>
              </w:r>
              <w:r>
                <w:t xml:space="preserve">    Determinations FOM 08-05-05 and Benefit Determination Guide MI 40.</w:t>
              </w:r>
            </w:p>
            <w:p>
              <w:pPr>
                <w:pStyle w:val="BodyText"/>
              </w:pPr>
              <w:r>
                <w:rPr>
                  <w:color w:val="000000"/>
                  <w:vertAlign w:val="superscript"/>
                </w:rPr>
                <w:t xml:space="preserve">[16]</w:t>
              </w:r>
              <w:r>
                <w:t xml:space="preserve">    Federal, not California specific.</w:t>
              </w:r>
            </w:p>
            <w:p>
              <w:pPr>
                <w:pStyle w:val="BodyText"/>
              </w:pPr>
              <w:r>
                <w:rPr>
                  <w:vertAlign w:val="superscript"/>
                </w:rPr>
                <w:t xml:space="preserve">[17]</w:t>
              </w:r>
              <w:r>
                <w:rPr>
                  <w:vertAlign w:val="superscript"/>
                </w:rPr>
                <w:t xml:space="preserve"> </w:t>
              </w:r>
              <w:r>
                <w:t xml:space="preserve">   </w:t>
              </w:r>
              <w:r>
                <w:rPr>
                  <w:i/>
                </w:rPr>
                <w:t xml:space="preserve">Nicole G. v. Braithwaite (2020)</w:t>
              </w:r>
              <w:r>
                <w:t xml:space="preserve"> 49 Cal.App.5th 990.</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leginfo.legislature.ca.gov/faces/codes_displaySection.xhtml?sectionNum=6211.&amp;amp;lawCode=FAM" TargetMode="External" Id="Rcbbd209711044603" /><Relationship Type="http://schemas.openxmlformats.org/officeDocument/2006/relationships/hyperlink" Target="https://leginfo.legislature.ca.gov/faces/codes_displaySection.xhtml?sectionNum=646.9&amp;amp;lawCode=PEN" TargetMode="External" Id="R0035c7a2857d43b9" /><Relationship Type="http://schemas.openxmlformats.org/officeDocument/2006/relationships/hyperlink" Target="https://leginfo.legislature.ca.gov/faces/codes_displaySection.xhtml?sectionNum=527.6&amp;amp;lawCode=CCP" TargetMode="External" Id="Ra0927a8f63f040d5" /><Relationship Type="http://schemas.openxmlformats.org/officeDocument/2006/relationships/hyperlink" Target="https://leginfo.legislature.ca.gov/faces/codes_displayText.xhtml?lawCode=FAM&amp;amp;division=10.&amp;amp;title=&amp;amp;part=1.&amp;amp;chapter=&amp;amp;article=" TargetMode="External" Id="R7fc6fb9a3e01498c" /><Relationship Type="http://schemas.openxmlformats.org/officeDocument/2006/relationships/hyperlink" Target="https://leginfo.legislature.ca.gov/faces/codes_displaySection.xhtml?sectionNum=262.&amp;amp;lawCode=PEN#:~:text=(a)%20Rape%20of%20a%20person,on%20the%20person%20or%20another." TargetMode="External" Id="Rc4714ae81c4246b9" /><Relationship Type="http://schemas.openxmlformats.org/officeDocument/2006/relationships/hyperlink" Target="https://leginfo.legislature.ca.gov/faces/codes_displayText.xhtml?lawCode=FAM&amp;amp;division=10.&amp;amp;title=&amp;amp;part=1.&amp;amp;chapter=&amp;amp;article=" TargetMode="External" Id="R228d015a17a84109" /><Relationship Type="http://schemas.openxmlformats.org/officeDocument/2006/relationships/hyperlink" Target="https://www.courts.ca.gov/selfhelp-domesticviolence.htm" TargetMode="External" Id="R545a3e5374684176" /><Relationship Type="http://schemas.openxmlformats.org/officeDocument/2006/relationships/hyperlink" Target="https://leginfo.legislature.ca.gov/faces/codes_displaySection.xhtml?sectionNum=6320.&amp;amp;lawCode=FAM" TargetMode="External" Id="R13527bb008b3410d" /><Relationship Type="http://schemas.openxmlformats.org/officeDocument/2006/relationships/hyperlink" Target="https://leginfo.legislature.ca.gov/faces/codes_displaySection.xhtml?sectionNum=6321.&amp;amp;lawCode=FAM" TargetMode="External" Id="Rb25e9ecea4734842" /><Relationship Type="http://schemas.openxmlformats.org/officeDocument/2006/relationships/hyperlink" Target="https://www.courts.ca.gov/documents/dv505info.pdf" TargetMode="External" Id="Re933ee6877024f30"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