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USA - California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usa---california_banner_v1.jpg?h=75&amp;amp;w=816&amp;amp;rev=b91695f11bb944fd8a81e0d9d34af797&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usa---california_banner_v1.jpg?h=75&amp;amp;w=816&amp;amp;rev=b91695f11bb944fd8a81e0d9d34af797&amp;sc_lang=en" descr=""/>
                        <pic:cNvPicPr>
                          <a:picLocks noChangeAspect="1" noChangeArrowheads="1"/>
                        </pic:cNvPicPr>
                      </pic:nvPicPr>
                      <pic:blipFill>
                        <a:blip r:embed="R82d21b4f210140b2"/>
                        <a:srcRect/>
                        <a:stretch>
                          <a:fillRect/>
                        </a:stretch>
                      </pic:blipFill>
                      <pic:spPr bwMode="auto">
                        <a:xfrm>
                          <a:off x="0" y="0"/>
                          <a:ext cx="7772400" cy="714375"/>
                        </a:xfrm>
                        <a:prstGeom prst="rect">
                          <a:avLst/>
                        </a:prstGeom>
                      </pic:spPr>
                    </pic:pic>
                  </a:graphicData>
                </a:graphic>
              </wp:inline>
            </w:drawing>
          </w:r>
        </w:p>
        <w:p>
          <w:pPr>
            <w:pStyle w:val="BodyText"/>
          </w:pPr>
          <w:pPr>
            <w:jc w:val="right"/>
          </w:pPr>
          <w:r>
            <w:t xml:space="preserve"> </w:t>
          </w:r>
        </w:p>
        <w:p>
          <w:pPr>
            <w:pStyle w:val="BodyText"/>
          </w:pPr>
          <w:pPr>
            <w:jc w:val="right"/>
          </w:pPr>
          <w:r>
            <w:drawing>
              <wp:inline distT="0" distB="0" distL="0" distR="0">
                <wp:extent cx="4238625" cy="1114425"/>
                <wp:effectExtent l="19050" t="0" r="0" b="0"/>
                <wp:docPr id="6" name="https://resourcehub.bakermckenzie.com/en/-/media/fighting-domestic-violence/reports/quotes/usa---california_quote_v1.jpg?h=117&amp;amp;w=445&amp;amp;rev=9e82ca8f58254a09adf6ac8916c84cc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usa---california_quote_v1.jpg?h=117&amp;amp;w=445&amp;amp;rev=9e82ca8f58254a09adf6ac8916c84cc6&amp;sc_lang=en" descr=""/>
                        <pic:cNvPicPr>
                          <a:picLocks noChangeAspect="1" noChangeArrowheads="1"/>
                        </pic:cNvPicPr>
                      </pic:nvPicPr>
                      <pic:blipFill>
                        <a:blip r:embed="Rf0a7116ade4a420f"/>
                        <a:srcRect/>
                        <a:stretch>
                          <a:fillRect/>
                        </a:stretch>
                      </pic:blipFill>
                      <pic:spPr bwMode="auto">
                        <a:xfrm>
                          <a:off x="0" y="0"/>
                          <a:ext cx="4238625" cy="1114425"/>
                        </a:xfrm>
                        <a:prstGeom prst="rect">
                          <a:avLst/>
                        </a:prstGeom>
                      </pic:spPr>
                    </pic:pic>
                  </a:graphicData>
                </a:graphic>
              </wp:inline>
            </w:drawing>
          </w:r>
          <w:r>
            <w:t xml:space="preserve">      </w:t>
          </w:r>
          <w:r>
            <w:drawing>
              <wp:inline distT="0" distB="0" distL="0" distR="0">
                <wp:extent cx="1381125" cy="1952624"/>
                <wp:effectExtent l="19050" t="0" r="0" b="0"/>
                <wp:docPr id="7" name="https://resourcehub.bakermckenzie.com/en/-/media/fighting-domestic-violence/reports/tile-images/2021_north-and-central-america.jpg?h=205&amp;amp;w=145&amp;amp;rev=cc11e187a9c346dab079e95d4b42c18b&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north-and-central-america.jpg?h=205&amp;amp;w=145&amp;amp;rev=cc11e187a9c346dab079e95d4b42c18b&amp;sc_lang=en" descr=""/>
                        <pic:cNvPicPr>
                          <a:picLocks noChangeAspect="1" noChangeArrowheads="1"/>
                        </pic:cNvPicPr>
                      </pic:nvPicPr>
                      <pic:blipFill>
                        <a:blip r:embed="R83ecb4c6a4514e8e"/>
                        <a:srcRect/>
                        <a:stretch>
                          <a:fillRect/>
                        </a:stretch>
                      </pic:blipFill>
                      <pic:spPr bwMode="auto">
                        <a:xfrm>
                          <a:off x="0" y="0"/>
                          <a:ext cx="1381125" cy="1952624"/>
                        </a:xfrm>
                        <a:prstGeom prst="rect">
                          <a:avLst/>
                        </a:prstGeom>
                      </pic:spPr>
                    </pic:pic>
                  </a:graphicData>
                </a:graphic>
              </wp:inline>
            </w:drawing>
          </w:r>
        </w:p>
        <w:p>
          <w:pPr>
            <w:pStyle w:val="BodyText"/>
          </w:pPr>
          <w:pPr>
            <w:jc w:val="right"/>
          </w:pPr>
          <w:hyperlink w:history="true" r:id="Rdaba452663984fe3">
            <w:r>
              <w:rPr>
                <w:rStyle w:val="Hyperlink"/>
              </w:rPr>
              <w:t xml:space="preserve">USA - California Full Report</w:t>
            </w:r>
          </w:hyperlink>
        </w:p>
        <w:p>
          <w:pPr>
            <w:pStyle w:val="BodyText"/>
          </w:pPr>
          <w:pPr>
            <w:ind/>
          </w:pPr>
          <w:r>
            <w:rPr>
              <w:b/>
              <w:color w:val="323232"/>
              <w:sz w:val="36"/>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h=178&amp;amp;w=910&amp;amp;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h=178&amp;amp;w=910&amp;amp;rev=0b2544bab61249d491e5aeb9ba679f2c&amp;sc_lang=en" descr=""/>
                        <pic:cNvPicPr>
                          <a:picLocks noChangeAspect="1" noChangeArrowheads="1"/>
                        </pic:cNvPicPr>
                      </pic:nvPicPr>
                      <pic:blipFill>
                        <a:blip r:embed="Rc6ba3edb79ef4321"/>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Introduction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of the laws that apply to victims of domestic violence and sexual assault come from California state laws, for example, laws that deal with protection orders, divorce, custody, crimes, etc. However, there are also federal laws — which apply to all states — that may be relevant for victims of abuse as well. This summary will provide an overview of California state laws that apply to domestic violence.</w:t>
                  </w:r>
                </w:p>
                <w:p>
                  <w:pPr>
                    <w:pStyle w:val="BodyText"/>
                  </w:pPr>
                  <w:r>
                    <w:t xml:space="preserve">In California, domestic violence is defined as when your current or former spouse, boyfriend/girlfriend, someone you have a child in common with, someone you live or have lived with, or someone you are related to through blood or marriage</w:t>
                  </w:r>
                  <w:r>
                    <w:rPr>
                      <w:color w:val="8DB3E2"/>
                      <w:vertAlign w:val="superscript"/>
                    </w:rPr>
                    <w:t xml:space="preserve">[1]</w:t>
                  </w:r>
                  <w:r>
                    <w:t xml:space="preserve"> does one of the following:</w:t>
                  </w:r>
                </w:p>
                <w:p>
                  <w:pPr>
                    <w:pStyle w:val="BodyText"/>
                  </w:pPr>
                  <w:pPr>
                    <w:pStyle w:val="ListParagraph"/>
                    <w:numPr>
                      <w:ilvl w:val="0"/>
                      <w:numId w:val="17"/>
                    </w:numPr>
                  </w:pPr>
                  <w:r>
                    <w:t xml:space="preserve">causes or attempts to cause you physical injury</w:t>
                  </w:r>
                </w:p>
                <w:p>
                  <w:pPr>
                    <w:pStyle w:val="BodyText"/>
                  </w:pPr>
                  <w:pPr>
                    <w:pStyle w:val="ListParagraph"/>
                    <w:numPr>
                      <w:ilvl w:val="0"/>
                      <w:numId w:val="17"/>
                    </w:numPr>
                  </w:pPr>
                  <w:r>
                    <w:t xml:space="preserve">sexually assaults you</w:t>
                  </w:r>
                </w:p>
                <w:p>
                  <w:pPr>
                    <w:pStyle w:val="BodyText"/>
                  </w:pPr>
                  <w:pPr>
                    <w:pStyle w:val="ListParagraph"/>
                    <w:numPr>
                      <w:ilvl w:val="0"/>
                      <w:numId w:val="17"/>
                    </w:numPr>
                  </w:pPr>
                  <w:r>
                    <w:t xml:space="preserve">makes you fear that you or another person is in danger of immediate and serious physical injury</w:t>
                  </w:r>
                </w:p>
                <w:p>
                  <w:pPr>
                    <w:pStyle w:val="BodyText"/>
                  </w:pPr>
                  <w:pPr>
                    <w:pStyle w:val="ListParagraph"/>
                    <w:numPr>
                      <w:ilvl w:val="0"/>
                      <w:numId w:val="17"/>
                    </w:numPr>
                  </w:pPr>
                  <w:r>
                    <w:t xml:space="preserve">molests, attacks, batters (uses force) or strikes you</w:t>
                  </w:r>
                </w:p>
                <w:p>
                  <w:pPr>
                    <w:pStyle w:val="BodyText"/>
                  </w:pPr>
                  <w:pPr>
                    <w:pStyle w:val="ListParagraph"/>
                    <w:numPr>
                      <w:ilvl w:val="0"/>
                      <w:numId w:val="17"/>
                    </w:numPr>
                  </w:pPr>
                  <w:r>
                    <w:t xml:space="preserve">stalks you</w:t>
                  </w:r>
                </w:p>
                <w:p>
                  <w:pPr>
                    <w:pStyle w:val="BodyText"/>
                  </w:pPr>
                  <w:pPr>
                    <w:pStyle w:val="ListParagraph"/>
                    <w:numPr>
                      <w:ilvl w:val="0"/>
                      <w:numId w:val="17"/>
                    </w:numPr>
                  </w:pPr>
                  <w:r>
                    <w:t xml:space="preserve">threatens or harasses you — either in person or through phone calls, emails or other methods</w:t>
                  </w:r>
                </w:p>
                <w:p>
                  <w:pPr>
                    <w:pStyle w:val="BodyText"/>
                  </w:pPr>
                  <w:pPr>
                    <w:pStyle w:val="ListParagraph"/>
                    <w:numPr>
                      <w:ilvl w:val="0"/>
                      <w:numId w:val="17"/>
                    </w:numPr>
                  </w:pPr>
                  <w:r>
                    <w:t xml:space="preserve">destroys your personal property</w:t>
                  </w:r>
                </w:p>
                <w:p>
                  <w:pPr>
                    <w:pStyle w:val="BodyText"/>
                  </w:pPr>
                  <w:pPr>
                    <w:pStyle w:val="ListParagraph"/>
                    <w:numPr>
                      <w:ilvl w:val="0"/>
                      <w:numId w:val="17"/>
                    </w:numPr>
                  </w:pPr>
                  <w:r>
                    <w:t xml:space="preserve">disturbs your peace</w:t>
                  </w:r>
                  <w:r>
                    <w:rPr>
                      <w:color w:val="8DB3E2"/>
                      <w:vertAlign w:val="superscript"/>
                    </w:rPr>
                    <w:t xml:space="preserve">[2]</w:t>
                  </w:r>
                </w:p>
                <w:p>
                  <w:pPr>
                    <w:pStyle w:val="BodyText"/>
                  </w:pPr>
                  <w:r>
                    <w:t xml:space="preserve">The actions listed above are considered “abuse.” It is worth emphasizing that in California abuse does not have to be physical in nature — abuse can be verbal (spoken), emotional or psychological.</w:t>
                  </w:r>
                </w:p>
                <w:p>
                  <w:pPr>
                    <w:pStyle w:val="BodyText"/>
                  </w:pPr>
                  <w:r>
                    <w:t xml:space="preserve">In California, domestic violence captures a broad range of criminal offenses that may be charged and punished in several different ways depending on the facts of the case. Less serious domestic violence incidents may be charged as misdemeanors. Some domestic violence charges called “wobblers” (e.g., charges under the California Penal Code (“Penal Code”) Section 273.5, Section 243 and Section 245) may be initially charged as a felony, but subsequently reduced to a misdemeanor. Serious domestic violence incidents are charged as felonies.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respect of California, the following statutes are relevant to cases of domestic violence: </w:t>
                  </w:r>
                </w:p>
                <w:p>
                  <w:pPr>
                    <w:pStyle w:val="BodyText"/>
                  </w:pPr>
                  <w:pPr>
                    <w:pStyle w:val="ListParagraph"/>
                    <w:numPr>
                      <w:ilvl w:val="0"/>
                      <w:numId w:val="16"/>
                    </w:numPr>
                  </w:pPr>
                  <w:r>
                    <w:t xml:space="preserve">Family Code Section 6203, Section 6211, Section 6218 and Section 6301</w:t>
                  </w:r>
                </w:p>
                <w:p>
                  <w:pPr>
                    <w:pStyle w:val="BodyText"/>
                  </w:pPr>
                  <w:pPr>
                    <w:pStyle w:val="ListParagraph"/>
                    <w:numPr>
                      <w:ilvl w:val="0"/>
                      <w:numId w:val="16"/>
                    </w:numPr>
                  </w:pPr>
                  <w:r>
                    <w:t xml:space="preserve">Penal Code Section 243(e)(1)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Coerced sexual activities and coerced debt are also forms of domestic violence. In </w:t>
                  </w:r>
                  <w:r>
                    <w:rPr>
                      <w:i/>
                    </w:rPr>
                    <w:t xml:space="preserve">People v. Thompson</w:t>
                  </w:r>
                  <w:r>
                    <w:t xml:space="preserve">, 160 Cal. App. 3d 220, 206 Cal. Rptr. 516 (1st Dist. 1984), statute permitting propensity evidence of a defendant’s other acts of domestic violence applies if the charged offense falls within the Family Code definition of domestic violence, even if it does not fall within the more restrictive Penal Code definition.</w:t>
                  </w:r>
                  <w:r>
                    <w:rPr>
                      <w:color w:val="8DB3E2"/>
                      <w:vertAlign w:val="superscript"/>
                    </w:rPr>
                    <w:t xml:space="preserve">[3]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superior courts handle domestic violence cases.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Proceedings can be either felonies or misdemeanors, but most crimes of domestic violence are California “wobbler” offenses (i.e., crimes that can be charged as either misdemeanors or felonies). Common crimes include: </w:t>
                  </w:r>
                </w:p>
                <w:p>
                  <w:pPr>
                    <w:pStyle w:val="BodyText"/>
                  </w:pPr>
                  <w:pPr>
                    <w:pStyle w:val="ListParagraph"/>
                    <w:numPr>
                      <w:ilvl w:val="0"/>
                      <w:numId w:val="15"/>
                    </w:numPr>
                  </w:pPr>
                  <w:r>
                    <w:t xml:space="preserve">corporal injury to a spouse or inhabitant (Penal Code Section 273.5)</w:t>
                  </w:r>
                </w:p>
                <w:p>
                  <w:pPr>
                    <w:pStyle w:val="BodyText"/>
                  </w:pPr>
                  <w:pPr>
                    <w:pStyle w:val="ListParagraph"/>
                    <w:numPr>
                      <w:ilvl w:val="0"/>
                      <w:numId w:val="15"/>
                    </w:numPr>
                  </w:pPr>
                  <w:r>
                    <w:t xml:space="preserve">domestic battery (Penal Code Section 273.5)</w:t>
                  </w:r>
                </w:p>
                <w:p>
                  <w:pPr>
                    <w:pStyle w:val="BodyText"/>
                  </w:pPr>
                  <w:pPr>
                    <w:pStyle w:val="ListParagraph"/>
                    <w:numPr>
                      <w:ilvl w:val="0"/>
                      <w:numId w:val="15"/>
                    </w:numPr>
                  </w:pPr>
                  <w:r>
                    <w:t xml:space="preserve">child abuse/endangerment (Penal Code Section 273d and 273a)</w:t>
                  </w:r>
                </w:p>
                <w:p>
                  <w:pPr>
                    <w:pStyle w:val="BodyText"/>
                  </w:pPr>
                  <w:pPr>
                    <w:pStyle w:val="ListParagraph"/>
                    <w:numPr>
                      <w:ilvl w:val="0"/>
                      <w:numId w:val="15"/>
                    </w:numPr>
                  </w:pPr>
                  <w:r>
                    <w:t xml:space="preserve">elder abuse (Penal Code Section 368)</w:t>
                  </w:r>
                </w:p>
                <w:p>
                  <w:pPr>
                    <w:pStyle w:val="BodyText"/>
                  </w:pPr>
                  <w:pPr>
                    <w:pStyle w:val="ListParagraph"/>
                    <w:numPr>
                      <w:ilvl w:val="0"/>
                      <w:numId w:val="15"/>
                    </w:numPr>
                  </w:pPr>
                  <w:r>
                    <w:t xml:space="preserve">criminal threats (Penal Code Section 422)</w:t>
                  </w:r>
                </w:p>
                <w:p>
                  <w:pPr>
                    <w:pStyle w:val="BodyText"/>
                  </w:pPr>
                  <w:pPr>
                    <w:pStyle w:val="ListParagraph"/>
                    <w:numPr>
                      <w:ilvl w:val="0"/>
                      <w:numId w:val="15"/>
                    </w:numPr>
                  </w:pPr>
                  <w:r>
                    <w:t xml:space="preserve">stalking (Penal Code Section 646.9)</w:t>
                  </w:r>
                </w:p>
                <w:p>
                  <w:pPr>
                    <w:pStyle w:val="BodyText"/>
                  </w:pPr>
                  <w:pPr>
                    <w:pStyle w:val="ListParagraph"/>
                    <w:numPr>
                      <w:ilvl w:val="0"/>
                      <w:numId w:val="15"/>
                    </w:numPr>
                  </w:pPr>
                  <w:r>
                    <w:t xml:space="preserve">aggravated trespass (Penal Code Section 601)</w:t>
                  </w:r>
                </w:p>
                <w:p>
                  <w:pPr>
                    <w:pStyle w:val="BodyText"/>
                  </w:pPr>
                  <w:pPr>
                    <w:pStyle w:val="ListParagraph"/>
                    <w:numPr>
                      <w:ilvl w:val="0"/>
                      <w:numId w:val="15"/>
                    </w:numPr>
                  </w:pPr>
                  <w:r>
                    <w:t xml:space="preserve">revenge porn (Penal Code Section 647(j)(4))</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California Constitution, Article I, Section 28(b), also known as Marsy’s Law, entitles victims to restitution.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domestic violence is not identified at the federal level or by the state of California as a human right.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United States has not signed CETS No. 210.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the treaty is between the member states of the Council of Europe, it is unlikely that the United States will sign the agreement. However, the United States does have its own laws against domestic violence. </w:t>
                  </w:r>
                </w:p>
                <w:p>
                  <w:pPr>
                    <w:pStyle w:val="BodyText"/>
                  </w:pPr>
                  <w:r>
                    <w:t xml:space="preserve">In 1994, the Violence Against Women Act (VAWA) was passed by Congress which made domestic violence a national crime. It is also a crime under Penal Code Section 273.5.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Ratification of the Convention on the Elimination of All Forms of Discrimination Against Women continues to be debated in the United States. While some members of the United States Congress are in favor of ratifying the agreement, it has never made it to the floor for a full vote by the United States Senate due to partisan political maneuvering.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Abuse [defined in 3.1 below] perpetrated against any of the following persons: (a) a spouse or former spouse; (b) a cohabitant or former cohabitant; (c) a person with whom the respondent is having or has had a dating or engagement relationship; (d) a person with whom the respondent has had a child, where the presumption applies that the male parent is the father of the child of the female parent under the Uniform Parentage Act; (e) a child of a party or a child who is the subject of an action under the Uniform Parentage Act, where the presumption applies that the male parent is the father of the child to be protected; and (f) any other person related by consanguinity or affinity within the second degree.</w:t>
                  </w:r>
                  <w:r>
                    <w:rPr>
                      <w:color w:val="8DB3E2"/>
                      <w:vertAlign w:val="superscript"/>
                    </w:rPr>
                    <w:t xml:space="preserve">[4]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Willfully and maliciously harassing another person or repeatedly following another person and making a credible threat with intent to place that person in reasonable fear for his or her safety or the safety of his or her immediate family.</w:t>
                  </w:r>
                  <w:r>
                    <w:rPr>
                      <w:color w:val="8DB3E2"/>
                      <w:vertAlign w:val="superscript"/>
                    </w:rPr>
                    <w:t xml:space="preserve">[5]</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Unlawful violence, a credible threat of violence or a knowing and willful course of conduct directed at a specific person that seriously alarms, annoys or harasses the person, and that serves no legitimate purpose. The course of conduct must be that which would cause a reasonable person to suffer substantial emotional distress, and must actually cause substantial emotional distress to the petitioner.</w:t>
                  </w:r>
                  <w:r>
                    <w:rPr>
                      <w:color w:val="8DB3E2"/>
                      <w:vertAlign w:val="superscript"/>
                    </w:rPr>
                    <w:t xml:space="preserve">[6]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person who is abused, harmed or killed by another person.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protective order means an order that includes any of the following restraining orders: (a) order enjoining specific acts of abuse; (b) order excluding a person from a dwelling; or (c) order enjoining other specified behavior.</w:t>
                  </w:r>
                  <w:r>
                    <w:rPr>
                      <w:color w:val="8DB3E2"/>
                      <w:vertAlign w:val="superscript"/>
                    </w:rPr>
                    <w:t xml:space="preserve">[7]</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definition found.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intercourse with a spouse accomplished under any of the following circumstances: (a) against a person’s will by means of force, violence, duress, menace or fear of immediate and unlawful bodily injury on the person or another; (b) where a person is prevented from resisting due to intoxication and this condition was known or reasonably should have been known; (c) where a person is at the time unconscious of the nature of the act and this is known to the accused; (d) against a victim’s will by threatening to retaliate in the future against the victim or any other person and there is a reasonable possibility the perpetrator will execute the threat; and (e) against the victim’s will by threatening to use authority of a public official to incarcerate, arrest or deport the victim or another.</w:t>
                  </w:r>
                  <w:r>
                    <w:rPr>
                      <w:color w:val="8DB3E2"/>
                      <w:vertAlign w:val="superscript"/>
                    </w:rPr>
                    <w:t xml:space="preserve">[8]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u w:val="single"/>
                    </w:rPr>
                    <w:t xml:space="preserve">Abuse</w:t>
                  </w:r>
                  <w:r>
                    <w:rPr>
                      <w:color w:val="8DB3E2"/>
                      <w:vertAlign w:val="superscript"/>
                    </w:rPr>
                    <w:t xml:space="preserve">[9]</w:t>
                  </w:r>
                </w:p>
                <w:p>
                  <w:pPr>
                    <w:pStyle w:val="BodyText"/>
                  </w:pPr>
                  <w:pPr>
                    <w:pStyle w:val="ListParagraph"/>
                    <w:numPr>
                      <w:ilvl w:val="0"/>
                      <w:numId w:val="14"/>
                    </w:numPr>
                  </w:pPr>
                  <w:r>
                    <w:t xml:space="preserve">To intentionally or recklessly cause or attempt to cause bodily injury.</w:t>
                  </w:r>
                </w:p>
                <w:p>
                  <w:pPr>
                    <w:pStyle w:val="BodyText"/>
                  </w:pPr>
                  <w:pPr>
                    <w:pStyle w:val="ListParagraph"/>
                    <w:numPr>
                      <w:ilvl w:val="0"/>
                      <w:numId w:val="14"/>
                    </w:numPr>
                  </w:pPr>
                  <w:r>
                    <w:t xml:space="preserve">Sexual assault.</w:t>
                  </w:r>
                </w:p>
                <w:p>
                  <w:pPr>
                    <w:pStyle w:val="BodyText"/>
                  </w:pPr>
                  <w:pPr>
                    <w:pStyle w:val="ListParagraph"/>
                    <w:numPr>
                      <w:ilvl w:val="0"/>
                      <w:numId w:val="14"/>
                    </w:numPr>
                  </w:pPr>
                  <w:r>
                    <w:t xml:space="preserve">To place a person in reasonable apprehension of imminent serious bodily injury to that person or to another.</w:t>
                  </w:r>
                </w:p>
                <w:p>
                  <w:pPr>
                    <w:pStyle w:val="BodyText"/>
                  </w:pPr>
                  <w:pPr>
                    <w:pStyle w:val="ListParagraph"/>
                    <w:numPr>
                      <w:ilvl w:val="0"/>
                      <w:numId w:val="14"/>
                    </w:numPr>
                  </w:pPr>
                  <w:r>
                    <w:t xml:space="preserve">To engage in any behavior that has been or could be enjoined pursuant to Section 6320 of the Penal Code.</w:t>
                  </w:r>
                </w:p>
                <w:p>
                  <w:pPr>
                    <w:pStyle w:val="BodyText"/>
                  </w:pPr>
                  <w:r>
                    <w:t xml:space="preserve">Abuse is not limited to the actual infliction of physical injury or assault.</w:t>
                  </w:r>
                </w:p>
                <w:p>
                  <w:pPr>
                    <w:pStyle w:val="BodyText"/>
                  </w:pPr>
                  <w:r>
                    <w:t xml:space="preserve">The </w:t>
                  </w:r>
                  <w:hyperlink w:history="true" r:id="Rb8d2649416794e27">
                    <w:r>
                      <w:rPr>
                        <w:rStyle w:val="Hyperlink"/>
                      </w:rPr>
                      <w:t xml:space="preserve">Penal Code Section 243(e)(1)</w:t>
                    </w:r>
                  </w:hyperlink>
                  <w:r>
                    <w:t xml:space="preserve"> also sets out penalties for battery committed against a spouse, cohabitant, parent of a defendant’s child, former spouse, fiancé or person with whom the defendant is having or has had a dating or engagement relationship.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following civil protection orders are available:</w:t>
                  </w:r>
                </w:p>
                <w:p>
                  <w:pPr>
                    <w:pStyle w:val="BodyText"/>
                  </w:pPr>
                  <w:pPr>
                    <w:pStyle w:val="ListParagraph"/>
                    <w:numPr>
                      <w:ilvl w:val="0"/>
                      <w:numId w:val="13"/>
                    </w:numPr>
                  </w:pPr>
                  <w:r>
                    <w:t xml:space="preserve">emergency protective order that lasts up to seven days</w:t>
                  </w:r>
                </w:p>
                <w:p>
                  <w:pPr>
                    <w:pStyle w:val="BodyText"/>
                  </w:pPr>
                  <w:pPr>
                    <w:pStyle w:val="ListParagraph"/>
                    <w:numPr>
                      <w:ilvl w:val="0"/>
                      <w:numId w:val="13"/>
                    </w:numPr>
                  </w:pPr>
                  <w:r>
                    <w:t xml:space="preserve">temporary restraining order that typically lasts for 20 to 25 days</w:t>
                  </w:r>
                </w:p>
                <w:p>
                  <w:pPr>
                    <w:pStyle w:val="BodyText"/>
                  </w:pPr>
                  <w:pPr>
                    <w:pStyle w:val="ListParagraph"/>
                    <w:numPr>
                      <w:ilvl w:val="0"/>
                      <w:numId w:val="13"/>
                    </w:numPr>
                  </w:pPr>
                  <w:r>
                    <w:t xml:space="preserve">permanent restraining order that can last up to five years</w:t>
                  </w:r>
                </w:p>
                <w:p>
                  <w:pPr>
                    <w:pStyle w:val="BodyText"/>
                  </w:pPr>
                  <w:pPr>
                    <w:pStyle w:val="ListParagraph"/>
                    <w:numPr>
                      <w:ilvl w:val="0"/>
                      <w:numId w:val="13"/>
                    </w:numPr>
                  </w:pPr>
                  <w:r>
                    <w:t xml:space="preserve">criminal protective order or “stay-away” order: lasts during the criminal case and for three years after the conclusion of the case</w:t>
                  </w:r>
                  <w:r>
                    <w:rPr>
                      <w:color w:val="8DB3E2"/>
                      <w:vertAlign w:val="superscript"/>
                    </w:rPr>
                    <w:t xml:space="preserve">[10]</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Married or registered domestic partners, divorced or separated, dating or those that used to date, living together or those that used to live together (but more than roommates), parents who share a child or those in close relations (parent, child, sibling, grandparent, in-law) can petition for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court may order a grant to the petitioner or exclusive care of a minor residing in the home of the petitioner or respondent.</w:t>
                  </w:r>
                  <w:r>
                    <w:rPr>
                      <w:color w:val="8DB3E2"/>
                      <w:vertAlign w:val="superscript"/>
                    </w:rPr>
                    <w:t xml:space="preserve">[11]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court may order a party to stay away from the family home, home of the other party or shared home.</w:t>
                  </w:r>
                  <w:r>
                    <w:rPr>
                      <w:color w:val="8DB3E2"/>
                      <w:vertAlign w:val="superscript"/>
                    </w:rPr>
                    <w:t xml:space="preserve">[12]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set out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ex parte orders are permitted under the Family Code 6320-6361.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cover the victim and any children.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4.1.1.</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532b9f957dd743ec">
                    <w:r>
                      <w:rPr>
                        <w:rStyle w:val="Hyperlink"/>
                      </w:rPr>
                      <w:t xml:space="preserve">https://www.courts.ca.gov/selfhelp-domesticviolence.htm</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Restraining order forms are required and these are available on the California Courts website.</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an emergency order, a judge may request to speak with the victim for more information, but this is not always necessary. For a temporary order hearing, the victim must attend.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depending on the type of order sought and granted.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emergency orders do not require a hearing. Judges can issue these orders 24 hours a day and the order starts immediately. This allows the victim time to go to court to file for a temporary restraining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Parole boards should consider any information or evidence of battered women syndrome in their decisions, where it appears the criminal behavior was a result of victimization. According to the Board of Parole Hearings: California Code of Regulations Title 15 Section 2239, a history of abuse is not expressly a defense to a criminal act. However, evidence of domestic abuse or “intimate partner battering” is relevant in the context of a claim to self-defense as stated in </w:t>
                  </w:r>
                  <w:r>
                    <w:rPr>
                      <w:i/>
                    </w:rPr>
                    <w:t xml:space="preserve">People v. Humphrey</w:t>
                  </w:r>
                  <w:r>
                    <w:t xml:space="preserve">, 921 P.2d 1 (1996).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Courts can make orders to protect an employee from suffering unlawful violence or credible threats of violence at the workplace including the following:</w:t>
                  </w:r>
                </w:p>
                <w:p>
                  <w:pPr>
                    <w:pStyle w:val="BodyText"/>
                  </w:pPr>
                  <w:pPr>
                    <w:pStyle w:val="ListParagraph"/>
                    <w:numPr>
                      <w:ilvl w:val="0"/>
                      <w:numId w:val="12"/>
                    </w:numPr>
                  </w:pPr>
                  <w:r>
                    <w:t xml:space="preserve">no harassment or threatening of the employee </w:t>
                  </w:r>
                </w:p>
                <w:p>
                  <w:pPr>
                    <w:pStyle w:val="BodyText"/>
                  </w:pPr>
                  <w:pPr>
                    <w:pStyle w:val="ListParagraph"/>
                    <w:numPr>
                      <w:ilvl w:val="0"/>
                      <w:numId w:val="12"/>
                    </w:numPr>
                  </w:pPr>
                  <w:r>
                    <w:t xml:space="preserve">no contact or proximity of the employee </w:t>
                  </w:r>
                </w:p>
                <w:p>
                  <w:pPr>
                    <w:pStyle w:val="BodyText"/>
                  </w:pPr>
                  <w:pPr>
                    <w:pStyle w:val="ListParagraph"/>
                    <w:numPr>
                      <w:ilvl w:val="0"/>
                      <w:numId w:val="12"/>
                    </w:numPr>
                  </w:pPr>
                  <w:r>
                    <w:t xml:space="preserve">no possession of guns </w:t>
                  </w:r>
                </w:p>
                <w:p>
                  <w:pPr>
                    <w:pStyle w:val="BodyText"/>
                  </w:pPr>
                  <w:r>
                    <w:t xml:space="preserve">An employer must request a workplace violence restraining order on behalf of an employee who needs protection. The court order can last up to three years and the order can also protect the employee’s certain family or household members and other employees at the employee’s workplace or at the employer’s other workplaces. </w:t>
                  </w:r>
                </w:p>
                <w:p>
                  <w:pPr>
                    <w:pStyle w:val="BodyText"/>
                  </w:pPr>
                  <w:r>
                    <w:t xml:space="preserve">These orders will be enforced by law enforcement agencies.</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Section 1256 of the California Unemployment Insurance Code provides that a claimant may be deemed to have left work for good cause when the claimant leaves work because of “domestic violence abuse.” </w:t>
                  </w:r>
                </w:p>
                <w:p>
                  <w:pPr>
                    <w:pStyle w:val="BodyText"/>
                  </w:pPr>
                  <w:r>
                    <w:t xml:space="preserve">In addition, Section 1032 provides that an employer’s reserve account is not subject to charges if it is determined the claimant quit with good cause due to domestic violence abuse.</w:t>
                  </w:r>
                  <w:r>
                    <w:rPr>
                      <w:color w:val="8DB3E2"/>
                      <w:vertAlign w:val="superscript"/>
                    </w:rPr>
                    <w:t xml:space="preserve">[15]</w:t>
                  </w:r>
                </w:p>
                <w:p>
                  <w:pPr>
                    <w:pStyle w:val="BodyText"/>
                  </w:pPr>
                  <w:r>
                    <w:t xml:space="preserve">In determining eligibility for benefits, the code provides that:</w:t>
                  </w:r>
                </w:p>
                <w:p>
                  <w:pPr>
                    <w:pStyle w:val="BodyText"/>
                  </w:pPr>
                  <w:pPr>
                    <w:ind w:left="705"/>
                  </w:pPr>
                  <w:r>
                    <w:t xml:space="preserve">An individual may be deemed to have left his or her most recent work with good cause if he or she leaves employment to protect his or her children, or himself or herself from domestic violence abuse.</w:t>
                  </w:r>
                </w:p>
                <w:p>
                  <w:pPr>
                    <w:pStyle w:val="BodyText"/>
                  </w:pPr>
                  <w:r>
                    <w:t xml:space="preserve">The claimant’s spouse does not have to be the source of the abuse or threat of abuse, to find good cause for the claimant to leave work. The abuser may be a spouse, a partner, “significant other,” a stalker, etc. To establish that a person has good cause to quit due to domestic violence abuse, the following must be established:</w:t>
                  </w:r>
                </w:p>
                <w:p>
                  <w:pPr>
                    <w:pStyle w:val="BodyText"/>
                  </w:pPr>
                  <w:pPr>
                    <w:pStyle w:val="ListParagraph"/>
                    <w:numPr>
                      <w:ilvl w:val="0"/>
                      <w:numId w:val="11"/>
                    </w:numPr>
                  </w:pPr>
                  <w:r>
                    <w:t xml:space="preserve">An act or threat of domestic violence abuse occurred.</w:t>
                  </w:r>
                </w:p>
                <w:p>
                  <w:pPr>
                    <w:pStyle w:val="BodyText"/>
                  </w:pPr>
                  <w:pPr>
                    <w:pStyle w:val="ListParagraph"/>
                    <w:numPr>
                      <w:ilvl w:val="0"/>
                      <w:numId w:val="11"/>
                    </w:numPr>
                  </w:pPr>
                  <w:r>
                    <w:t xml:space="preserve">The claimant or the claimant’s children are the intended victims of the domestic violence abuse.</w:t>
                  </w:r>
                </w:p>
                <w:p>
                  <w:pPr>
                    <w:pStyle w:val="BodyText"/>
                  </w:pPr>
                  <w:pPr>
                    <w:pStyle w:val="ListParagraph"/>
                    <w:numPr>
                      <w:ilvl w:val="0"/>
                      <w:numId w:val="11"/>
                    </w:numPr>
                  </w:pPr>
                  <w:r>
                    <w:t xml:space="preserve">The claimant has a restraining order, a police report or some other information that identifies the source of the abuse and/or verifies the abuse or threat of abuse.</w:t>
                  </w:r>
                </w:p>
                <w:p>
                  <w:pPr>
                    <w:pStyle w:val="BodyText"/>
                  </w:pPr>
                  <w:pPr>
                    <w:pStyle w:val="ListParagraph"/>
                    <w:numPr>
                      <w:ilvl w:val="0"/>
                      <w:numId w:val="11"/>
                    </w:numPr>
                  </w:pPr>
                  <w:r>
                    <w:t xml:space="preserve">A leave of absence or a transfer was not available, or would not have resolved the problem, e.g., the claimant has a restraining order against the abuser, but the abuser violates the restraining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The California Labor Code 230(c) allows for an employee to take time off to obtain or attempt to obtain any relief. Relief includes, but is not limited to, a temporary restraining order, restraining order or other injunctive relief, to help ensure the health, safety or welfare of the victim or their child.</w:t>
                  </w:r>
                </w:p>
                <w:p>
                  <w:pPr>
                    <w:pStyle w:val="BodyText"/>
                  </w:pPr>
                  <w:pPr>
                    <w:pStyle w:val="ListParagraph"/>
                    <w:numPr>
                      <w:ilvl w:val="0"/>
                      <w:numId w:val="10"/>
                    </w:numPr>
                  </w:pPr>
                  <w:r>
                    <w:t xml:space="preserve">State employees are entitled to take leave and use any eligible leave credits available to them to attend to certain family crisis situations.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California passed SB 785 in May 2018. This is a bill that prevents the disclosure of the immigration status when individuals come forward to participate in court cases as victims or witnesses, when their immigration status is not relevant to the facts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United States, the federal government usually provides immigration law protections. VAWA contains provisions that are intended to prevent abusers who are United States citizens or permanent residents from using immigration laws to perpetrate domestic violence against their spouse, including allowing battered immigrant spouses to obtain legal immigrant status without having to rely on the cooperation of the abusive spouse. Battered immigrants who cooperate with law enforcement officials in investigating or prosecuting acts of domestic violence may also qualify for a U visa.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Foreign victims of severe domestic violence and sexual abuse may qualify for asylum status as part of the “membership in a particular social group” category.</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hyperlink w:history="true" r:id="Rfda29a3945764e0c">
                    <w:r>
                      <w:rPr>
                        <w:rStyle w:val="Hyperlink"/>
                      </w:rPr>
                      <w:t xml:space="preserve">10 USC Code §1567(a)</w:t>
                    </w:r>
                  </w:hyperlink>
                  <w:r>
                    <w:t xml:space="preserve"> permits military commanders to issue protective orders prohibiting contact or communication with the protected person and is often used in cases concerning abuse by filing </w:t>
                  </w:r>
                  <w:hyperlink w:history="true" r:id="Rc7a7f08abc5c4306">
                    <w:r>
                      <w:rPr>
                        <w:rStyle w:val="Hyperlink"/>
                      </w:rPr>
                      <w:t xml:space="preserve">DD Form 2873</w:t>
                    </w:r>
                  </w:hyperlink>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domestic violence cases (where a parent has been convicted in a criminal court or there has been a finding of domestic violence in the past five years), the judge must follow </w:t>
                  </w:r>
                  <w:r>
                    <w:t xml:space="preserve">Family Code Section 3044</w:t>
                  </w:r>
                  <w:r>
                    <w:t xml:space="preserve"> to determine custody or visitation of children. Under Family Code Section 3044, there is a rebuttable presumption that awarding custody to a perpetrator of domestic violence is not in the best interests of the child, and this presumption may only be rebutted by a preponderance of evidence based on specific factors outlined by the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 </w:t>
                  </w:r>
                  <w:hyperlink w:history="true" r:id="R2e0a66e4c3c049ac">
                    <w:r>
                      <w:rPr>
                        <w:rStyle w:val="Hyperlink"/>
                      </w:rPr>
                      <w:t xml:space="preserve">Family Code Section 3042</w:t>
                    </w:r>
                  </w:hyperlink>
                  <w:r>
                    <w:t xml:space="preserve">, a court must consider the wishes of a child old enough to form “intelligent preference as to custody or visitation” and per </w:t>
                  </w:r>
                  <w:hyperlink w:history="true" r:id="R66b781c48ffa4b5f">
                    <w:r>
                      <w:rPr>
                        <w:rStyle w:val="Hyperlink"/>
                      </w:rPr>
                      <w:t xml:space="preserve">Family Code Section 3080</w:t>
                    </w:r>
                  </w:hyperlink>
                  <w:r>
                    <w:t xml:space="preserve">, there is a presumption, affecting the burden of proof, that joint custody is in the best interests of the child where the parents have agreed.</w:t>
                  </w:r>
                </w:p>
                <w:p>
                  <w:pPr>
                    <w:pStyle w:val="BodyText"/>
                  </w:pPr>
                  <w:r>
                    <w:rPr>
                      <w:b/>
                    </w:rPr>
                    <w:t xml:space="preserve">Information around coercive family violence under the Divorce Act</w:t>
                  </w:r>
                </w:p>
                <w:p>
                  <w:pPr>
                    <w:pStyle w:val="BodyText"/>
                  </w:pPr>
                  <w:r>
                    <w:t xml:space="preserve"> On 29 September 2020, </w:t>
                  </w:r>
                  <w:hyperlink w:history="true" r:id="Ree596c0b42354d44">
                    <w:r>
                      <w:rPr>
                        <w:rStyle w:val="Hyperlink"/>
                      </w:rPr>
                      <w:t xml:space="preserve">California S.B. 1141, Chapter 238</w:t>
                    </w:r>
                  </w:hyperlink>
                  <w:r>
                    <w:t xml:space="preserve"> was signed into law, which amended </w:t>
                  </w:r>
                  <w:hyperlink w:history="true" r:id="R3c1abda12fe345cb">
                    <w:r>
                      <w:rPr>
                        <w:rStyle w:val="Hyperlink"/>
                      </w:rPr>
                      <w:t xml:space="preserve">Family Code Section 6320</w:t>
                    </w:r>
                  </w:hyperlink>
                  <w:r>
                    <w:t xml:space="preserve"> to clarify that conduct used to establish “coercive control” constitutes abuses under California’s Domestic Violence Prevention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w:t>
                  </w:r>
                  <w:hyperlink w:history="true" r:id="R55c56b7f6b834205">
                    <w:r>
                      <w:rPr>
                        <w:rStyle w:val="Hyperlink"/>
                      </w:rPr>
                      <w:t xml:space="preserve">California Code of Civil Procedure Section 1161.3</w:t>
                    </w:r>
                  </w:hyperlink>
                  <w:r>
                    <w:t xml:space="preserve"> stops landlords from making tenants who have been victims of domestic violence move out so long as the abuse has been documented by either a protective order, police report or a qualified third party acting in his or her professional capacity. However, a landlord may end, or refuse to renew, a tenancy if, after giving three days’ notice to correct, (i) the victim allowed the abuser to visit the property, or (ii) the abuser is a physical threat to other tenants or their invitees or their right to use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w:t>
                  </w:r>
                  <w:hyperlink w:history="true" r:id="R95cde254716c407d">
                    <w:r>
                      <w:rPr>
                        <w:rStyle w:val="Hyperlink"/>
                      </w:rPr>
                      <w:t xml:space="preserve">California Code of Civil Procedure Section 1946.7</w:t>
                    </w:r>
                  </w:hyperlink>
                  <w:r>
                    <w:t xml:space="preserve"> allows a victim of domestic violence to terminate his or her lease early so long as the tenant provides documented proof that verifies that the abuse occurred. The notice of termination must be given within 180 days of the protective order or police report being issued or within 180 days after the violence occurred. In such case, the victim will be responsible for paying rent for no more than 14 calendar days following delivery to the landlord of the tenant’s termination notice.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 </w:t>
                  </w:r>
                  <w:hyperlink w:history="true" r:id="Rdaeb418677584293">
                    <w:r>
                      <w:rPr>
                        <w:rStyle w:val="Hyperlink"/>
                      </w:rPr>
                      <w:t xml:space="preserve">Family Code Section 6321</w:t>
                    </w:r>
                  </w:hyperlink>
                  <w:r>
                    <w:t xml:space="preserve">, the court may issue an </w:t>
                  </w:r>
                  <w:r>
                    <w:rPr>
                      <w:i/>
                    </w:rPr>
                    <w:t xml:space="preserve">ex parte</w:t>
                  </w:r>
                  <w:r>
                    <w:t xml:space="preserve"> order excluding a party from a dwelling regardless of which party holds title to the property. </w:t>
                  </w:r>
                  <w:hyperlink w:history="true" r:id="R639e6bf74cfd4cde">
                    <w:r>
                      <w:rPr>
                        <w:rStyle w:val="Hyperlink"/>
                      </w:rPr>
                      <w:t xml:space="preserve">Family Code 6234</w:t>
                    </w:r>
                  </w:hyperlink>
                  <w:r>
                    <w:t xml:space="preserve"> allows the court to make a temporary move out order, and </w:t>
                  </w:r>
                  <w:hyperlink w:history="true" r:id="Rd14f641ea8a44ae1">
                    <w:r>
                      <w:rPr>
                        <w:rStyle w:val="Hyperlink"/>
                      </w:rPr>
                      <w:t xml:space="preserve">Family Code 6340</w:t>
                    </w:r>
                  </w:hyperlink>
                  <w:r>
                    <w:t xml:space="preserve"> allows the court to issue an order excluding the abuser from the dwelling if it finds that physical or emotional harm would be forced upon the other party or to a minor or person under the care of the victim. Furthermore, a California Appellate Court ruling in 2020</w:t>
                  </w:r>
                  <w:r>
                    <w:rPr>
                      <w:color w:val="8DB3E2"/>
                      <w:vertAlign w:val="superscript"/>
                    </w:rPr>
                    <w:t xml:space="preserve">[17]</w:t>
                  </w:r>
                  <w:r>
                    <w:t xml:space="preserve"> reinforced the court’s authority to exclude the abuser from the property regardless of whether the issue of ownership in the property was still being determined in a pending civil suit.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 </w:t>
                  </w:r>
                  <w:hyperlink w:history="true" r:id="Ra0abf1b820104a5b">
                    <w:r>
                      <w:rPr>
                        <w:rStyle w:val="Hyperlink"/>
                      </w:rPr>
                      <w:t xml:space="preserve">Family Code Section 2045</w:t>
                    </w:r>
                  </w:hyperlink>
                  <w:r>
                    <w:t xml:space="preserve">, a spouse or registered domestic partner who is a victim of domestic violence may ask the court (by completing </w:t>
                  </w:r>
                  <w:hyperlink w:history="true" r:id="Rfb97ed9e6d214b67">
                    <w:r>
                      <w:rPr>
                        <w:rStyle w:val="Hyperlink"/>
                      </w:rPr>
                      <w:t xml:space="preserve">Form DV-100</w:t>
                    </w:r>
                  </w:hyperlink>
                  <w:r>
                    <w:t xml:space="preserve">) to issue a domestic violence restraining order prohibiting the abuser from disposing of property, real or personal, whether community, quasi-community or separate, except in the usual course of business or for necessities of life. A judge may also order the abuser to notify the victim of any proposed extraordinary expenditures.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6.7 Privacy and confidentiality laws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t>
                  </w:r>
                  <w:hyperlink w:history="true" r:id="R246c6ee5414e42a7">
                    <w:r>
                      <w:rPr>
                        <w:rStyle w:val="Hyperlink"/>
                      </w:rPr>
                      <w:t xml:space="preserve">California Invasion of Privacy Act</w:t>
                    </w:r>
                  </w:hyperlink>
                  <w:r>
                    <w:t xml:space="preserve"> makes wiretapping a crime and allows victims to file civil suits to recover compensation for the invasion of privacy. However, there are some exceptions to this law. Per </w:t>
                  </w:r>
                  <w:hyperlink w:history="true" r:id="R90aed730b9e64287">
                    <w:r>
                      <w:rPr>
                        <w:rStyle w:val="Hyperlink"/>
                      </w:rPr>
                      <w:t xml:space="preserve">Penal Code Section 633.5</w:t>
                    </w:r>
                  </w:hyperlink>
                  <w:r>
                    <w:t xml:space="preserve">, victims of certain crimes, including domestic violence, may legally record confidential communications if there is a reasonable belief that the communications relate to the crime, and </w:t>
                  </w:r>
                  <w:hyperlink w:history="true" r:id="Rf762f71b4b4f46f5">
                    <w:r>
                      <w:rPr>
                        <w:rStyle w:val="Hyperlink"/>
                      </w:rPr>
                      <w:t xml:space="preserve">Penal Code Section 633.6</w:t>
                    </w:r>
                  </w:hyperlink>
                  <w:r>
                    <w:t xml:space="preserve"> allows a victim to use such communications as evidence to obtain a restraining order. The law also provides that a court may grant in a domestic violence restraining order permission for the victim to record confidential communication made by the perpetrator of the crime.</w:t>
                  </w:r>
                </w:p>
                <w:p>
                  <w:pPr>
                    <w:pStyle w:val="BodyText"/>
                  </w:pPr>
                  <w:r>
                    <w:t xml:space="preserve">California has created a </w:t>
                  </w:r>
                  <w:hyperlink w:history="true" r:id="R4e3534a221c54baf">
                    <w:r>
                      <w:rPr>
                        <w:rStyle w:val="Hyperlink"/>
                      </w:rPr>
                      <w:t xml:space="preserve">Safe at Home</w:t>
                    </w:r>
                  </w:hyperlink>
                  <w:r>
                    <w:t xml:space="preserve"> (codified in </w:t>
                  </w:r>
                  <w:hyperlink w:history="true" r:id="Rf26bf20308a646ea">
                    <w:r>
                      <w:rPr>
                        <w:rStyle w:val="Hyperlink"/>
                      </w:rPr>
                      <w:t xml:space="preserve">Government Code Sections 6205-6216</w:t>
                    </w:r>
                  </w:hyperlink>
                  <w:r>
                    <w:t xml:space="preserve">) program administered by the secretary of state’s office that offers victims of domestic violence a substitute mailing address in order to keep the victim from being tracked down by their perpetrator.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w:t>
                  </w:r>
                  <w:r>
                    <w:t xml:space="preserve">California Family Code (“</w:t>
                  </w:r>
                  <w:r>
                    <w:rPr>
                      <w:b/>
                    </w:rPr>
                    <w:t xml:space="preserve">Family Code</w:t>
                  </w:r>
                  <w:r>
                    <w:t xml:space="preserve">”) Section 6211.</w:t>
                  </w:r>
                </w:p>
                <w:p>
                  <w:pPr>
                    <w:pStyle w:val="BodyText"/>
                  </w:pPr>
                  <w:r>
                    <w:rPr>
                      <w:color w:val="000000"/>
                      <w:vertAlign w:val="superscript"/>
                    </w:rPr>
                    <w:t xml:space="preserve">[2]</w:t>
                  </w:r>
                  <w:r>
                    <w:t xml:space="preserve">    </w:t>
                  </w:r>
                  <w:r>
                    <w:t xml:space="preserve">Family Code Sections 6203 and 6320(a).</w:t>
                  </w:r>
                </w:p>
                <w:p>
                  <w:pPr>
                    <w:pStyle w:val="BodyText"/>
                  </w:pPr>
                  <w:r>
                    <w:rPr>
                      <w:color w:val="000000"/>
                      <w:vertAlign w:val="superscript"/>
                    </w:rPr>
                    <w:t xml:space="preserve">[3]</w:t>
                  </w:r>
                  <w:r>
                    <w:t xml:space="preserve">    </w:t>
                  </w:r>
                  <w:r>
                    <w:rPr>
                      <w:i/>
                    </w:rPr>
                    <w:t xml:space="preserve">People v. Ogle</w:t>
                  </w:r>
                  <w:r>
                    <w:t xml:space="preserve">, 110 Cal.Rptr.3d 913, 185 Cal.App.4th 1138 (App. 2 Dist. 2010).</w:t>
                  </w:r>
                </w:p>
                <w:p>
                  <w:pPr>
                    <w:pStyle w:val="BodyText"/>
                  </w:pPr>
                  <w:r>
                    <w:rPr>
                      <w:color w:val="000000"/>
                      <w:vertAlign w:val="superscript"/>
                    </w:rPr>
                    <w:t xml:space="preserve">[4]</w:t>
                  </w:r>
                  <w:r>
                    <w:t xml:space="preserve">    </w:t>
                  </w:r>
                  <w:hyperlink w:history="true" r:id="R4c31438a690c4cdf">
                    <w:r>
                      <w:rPr>
                        <w:rStyle w:val="Hyperlink"/>
                      </w:rPr>
                      <w:t xml:space="preserve">Family Code 6211</w:t>
                    </w:r>
                  </w:hyperlink>
                  <w:r>
                    <w:t xml:space="preserve">.</w:t>
                  </w:r>
                </w:p>
                <w:p>
                  <w:pPr>
                    <w:pStyle w:val="BodyText"/>
                  </w:pPr>
                  <w:r>
                    <w:rPr>
                      <w:color w:val="000000"/>
                      <w:vertAlign w:val="superscript"/>
                    </w:rPr>
                    <w:t xml:space="preserve">[5]</w:t>
                  </w:r>
                  <w:r>
                    <w:t xml:space="preserve">    </w:t>
                  </w:r>
                  <w:hyperlink w:history="true" r:id="R4268ce41712c4d20">
                    <w:r>
                      <w:rPr>
                        <w:rStyle w:val="Hyperlink"/>
                      </w:rPr>
                      <w:t xml:space="preserve">Penal Code Sections 240, 242 and 646.9</w:t>
                    </w:r>
                  </w:hyperlink>
                  <w:r>
                    <w:t xml:space="preserve">.</w:t>
                  </w:r>
                </w:p>
                <w:p>
                  <w:pPr>
                    <w:pStyle w:val="BodyText"/>
                  </w:pPr>
                  <w:r>
                    <w:rPr>
                      <w:color w:val="000000"/>
                      <w:vertAlign w:val="superscript"/>
                    </w:rPr>
                    <w:t xml:space="preserve">[6]</w:t>
                  </w:r>
                  <w:r>
                    <w:t xml:space="preserve">    </w:t>
                  </w:r>
                  <w:hyperlink w:history="true" r:id="Re8fe0465e75948df">
                    <w:r>
                      <w:rPr>
                        <w:rStyle w:val="Hyperlink"/>
                      </w:rPr>
                      <w:t xml:space="preserve">Ann.Cal.C.C.P. Section 527.6(b)-</w:t>
                    </w:r>
                  </w:hyperlink>
                  <w:r>
                    <w:t xml:space="preserve">.</w:t>
                  </w:r>
                  <w:r>
                    <w:t xml:space="preserve"> Note: specific to seeking temporary restraining order. </w:t>
                  </w:r>
                </w:p>
                <w:p>
                  <w:pPr>
                    <w:pStyle w:val="BodyText"/>
                  </w:pPr>
                  <w:r>
                    <w:rPr>
                      <w:color w:val="000000"/>
                      <w:vertAlign w:val="superscript"/>
                    </w:rPr>
                    <w:t xml:space="preserve">[7]</w:t>
                  </w:r>
                  <w:r>
                    <w:t xml:space="preserve">    </w:t>
                  </w:r>
                  <w:hyperlink w:history="true" r:id="Rdc52f0eb8eab4265">
                    <w:r>
                      <w:rPr>
                        <w:rStyle w:val="Hyperlink"/>
                      </w:rPr>
                      <w:t xml:space="preserve">Family Code 6218</w:t>
                    </w:r>
                  </w:hyperlink>
                  <w:r>
                    <w:t xml:space="preserve">.</w:t>
                  </w:r>
                </w:p>
                <w:p>
                  <w:pPr>
                    <w:pStyle w:val="BodyText"/>
                  </w:pPr>
                  <w:r>
                    <w:rPr>
                      <w:color w:val="000000"/>
                      <w:vertAlign w:val="superscript"/>
                    </w:rPr>
                    <w:t xml:space="preserve">[8]</w:t>
                  </w:r>
                  <w:r>
                    <w:t xml:space="preserve">    </w:t>
                  </w:r>
                  <w:hyperlink w:history="true" r:id="R25ed13d01bad4ba6">
                    <w:r>
                      <w:rPr>
                        <w:rStyle w:val="Hyperlink"/>
                      </w:rPr>
                      <w:t xml:space="preserve">Penal Code 262</w:t>
                    </w:r>
                  </w:hyperlink>
                  <w:r>
                    <w:t xml:space="preserve">.</w:t>
                  </w:r>
                </w:p>
                <w:p>
                  <w:pPr>
                    <w:pStyle w:val="BodyText"/>
                  </w:pPr>
                  <w:r>
                    <w:rPr>
                      <w:color w:val="000000"/>
                      <w:vertAlign w:val="superscript"/>
                    </w:rPr>
                    <w:t xml:space="preserve">[9]</w:t>
                  </w:r>
                  <w:r>
                    <w:t xml:space="preserve">    </w:t>
                  </w:r>
                  <w:hyperlink w:history="true" r:id="R55e4c3c52b4e4965">
                    <w:r>
                      <w:rPr>
                        <w:rStyle w:val="Hyperlink"/>
                      </w:rPr>
                      <w:t xml:space="preserve">Family Code 6203</w:t>
                    </w:r>
                  </w:hyperlink>
                  <w:r>
                    <w:t xml:space="preserve">.</w:t>
                  </w:r>
                </w:p>
                <w:p>
                  <w:pPr>
                    <w:pStyle w:val="BodyText"/>
                  </w:pPr>
                  <w:r>
                    <w:rPr>
                      <w:color w:val="000000"/>
                      <w:vertAlign w:val="superscript"/>
                    </w:rPr>
                    <w:t xml:space="preserve">[10]</w:t>
                  </w:r>
                  <w:r>
                    <w:t xml:space="preserve">    </w:t>
                  </w:r>
                  <w:r>
                    <w:t xml:space="preserve">More info </w:t>
                  </w:r>
                  <w:hyperlink w:history="true" r:id="Rc4a6bdd72003449c">
                    <w:r>
                      <w:rPr>
                        <w:rStyle w:val="Hyperlink"/>
                      </w:rPr>
                      <w:t xml:space="preserve">here</w:t>
                    </w:r>
                  </w:hyperlink>
                  <w:r>
                    <w:t xml:space="preserve">.</w:t>
                  </w:r>
                </w:p>
                <w:p>
                  <w:pPr>
                    <w:pStyle w:val="BodyText"/>
                  </w:pPr>
                  <w:r>
                    <w:rPr>
                      <w:color w:val="000000"/>
                      <w:vertAlign w:val="superscript"/>
                    </w:rPr>
                    <w:t xml:space="preserve">[11]</w:t>
                  </w:r>
                  <w:r>
                    <w:t xml:space="preserve">    </w:t>
                  </w:r>
                  <w:hyperlink w:history="true" r:id="R999b9dab270d4643">
                    <w:r>
                      <w:rPr>
                        <w:rStyle w:val="Hyperlink"/>
                      </w:rPr>
                      <w:t xml:space="preserve">Family Code 6320</w:t>
                    </w:r>
                  </w:hyperlink>
                  <w:r>
                    <w:t xml:space="preserve"> and 6323.</w:t>
                  </w:r>
                </w:p>
                <w:p>
                  <w:pPr>
                    <w:pStyle w:val="BodyText"/>
                  </w:pPr>
                  <w:r>
                    <w:rPr>
                      <w:color w:val="000000"/>
                      <w:vertAlign w:val="superscript"/>
                    </w:rPr>
                    <w:t xml:space="preserve">[12]</w:t>
                  </w:r>
                  <w:r>
                    <w:t xml:space="preserve">    </w:t>
                  </w:r>
                  <w:hyperlink w:history="true" r:id="R9cafd5f8b32e4e4a">
                    <w:r>
                      <w:rPr>
                        <w:rStyle w:val="Hyperlink"/>
                      </w:rPr>
                      <w:t xml:space="preserve">Family Code 6321</w:t>
                    </w:r>
                  </w:hyperlink>
                  <w:r>
                    <w:t xml:space="preserve">.</w:t>
                  </w:r>
                </w:p>
                <w:p>
                  <w:pPr>
                    <w:pStyle w:val="BodyText"/>
                  </w:pPr>
                  <w:r>
                    <w:rPr>
                      <w:color w:val="000000"/>
                      <w:vertAlign w:val="superscript"/>
                    </w:rPr>
                    <w:t xml:space="preserve">[13]</w:t>
                  </w:r>
                  <w:r>
                    <w:t xml:space="preserve">    </w:t>
                  </w:r>
                  <w:r>
                    <w:t xml:space="preserve">Forms linked </w:t>
                  </w:r>
                  <w:hyperlink w:history="true" r:id="R6a96dae424e5495b">
                    <w:r>
                      <w:rPr>
                        <w:rStyle w:val="Hyperlink"/>
                      </w:rPr>
                      <w:t xml:space="preserve">here</w:t>
                    </w:r>
                  </w:hyperlink>
                  <w:r>
                    <w:t xml:space="preserve">.</w:t>
                  </w:r>
                </w:p>
                <w:p>
                  <w:pPr>
                    <w:pStyle w:val="BodyText"/>
                  </w:pPr>
                  <w:r>
                    <w:rPr>
                      <w:color w:val="000000"/>
                      <w:vertAlign w:val="superscript"/>
                    </w:rPr>
                    <w:t xml:space="preserve">[14]</w:t>
                  </w:r>
                  <w:r>
                    <w:t xml:space="preserve">    http://www.courts.ca.gov</w:t>
                  </w:r>
                </w:p>
                <w:p>
                  <w:pPr>
                    <w:pStyle w:val="BodyText"/>
                  </w:pPr>
                  <w:r>
                    <w:rPr>
                      <w:color w:val="000000"/>
                      <w:vertAlign w:val="superscript"/>
                    </w:rPr>
                    <w:t xml:space="preserve">[15]</w:t>
                  </w:r>
                  <w:r>
                    <w:t xml:space="preserve">    Determinations FOM 08-05-05 and Benefit Determination Guide MI 40.</w:t>
                  </w:r>
                </w:p>
                <w:p>
                  <w:pPr>
                    <w:pStyle w:val="BodyText"/>
                  </w:pPr>
                  <w:r>
                    <w:rPr>
                      <w:color w:val="000000"/>
                      <w:vertAlign w:val="superscript"/>
                    </w:rPr>
                    <w:t xml:space="preserve">[16]</w:t>
                  </w:r>
                  <w:r>
                    <w:t xml:space="preserve">    Federal, not California specific.</w:t>
                  </w:r>
                </w:p>
                <w:p>
                  <w:pPr>
                    <w:pStyle w:val="BodyText"/>
                  </w:pPr>
                  <w:r>
                    <w:rPr>
                      <w:vertAlign w:val="superscript"/>
                    </w:rPr>
                    <w:t xml:space="preserve">[17]</w:t>
                  </w:r>
                  <w:r>
                    <w:rPr>
                      <w:vertAlign w:val="superscript"/>
                    </w:rPr>
                    <w:t xml:space="preserve"> </w:t>
                  </w:r>
                  <w:r>
                    <w:t xml:space="preserve">   </w:t>
                  </w:r>
                  <w:r>
                    <w:rPr>
                      <w:i/>
                    </w:rPr>
                    <w:t xml:space="preserve">Nicole G. v. Braithwaite (2020)</w:t>
                  </w:r>
                  <w:r>
                    <w:t xml:space="preserve"> 49 Cal.App.5th 990.</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7"/>
    <w:lvlOverride w:ilvl="0">
      <w:startOverride w:val="1"/>
    </w:lvlOverride>
  </w:num>
  <w:num w:numId="12">
    <w:abstractNumId w:val="27"/>
    <w:lvlOverride w:ilvl="0">
      <w:startOverride w:val="1"/>
    </w:lvlOverride>
  </w:num>
  <w:num w:numId="13">
    <w:abstractNumId w:val="35"/>
    <w:lvlOverride w:ilvl="0">
      <w:startOverride w:val="1"/>
    </w:lvlOverride>
  </w:num>
  <w:num w:numId="14">
    <w:abstractNumId w:val="41"/>
    <w:lvlOverride w:ilvl="0">
      <w:startOverride w:val="1"/>
    </w:lvlOverride>
  </w:num>
  <w:num w:numId="15">
    <w:abstractNumId w:val="51"/>
    <w:lvlOverride w:ilvl="0">
      <w:startOverride w:val="1"/>
    </w:lvlOverride>
  </w:num>
  <w:num w:numId="16">
    <w:abstractNumId w:val="59"/>
    <w:lvlOverride w:ilvl="0">
      <w:startOverride w:val="1"/>
    </w:lvlOverride>
  </w:num>
  <w:num w:numId="17">
    <w:abstractNumId w:val="7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82d21b4f210140b2" /><Relationship Type="http://schemas.openxmlformats.org/officeDocument/2006/relationships/image" Target="/media/image2.jpg" Id="Rf0a7116ade4a420f" /><Relationship Type="http://schemas.openxmlformats.org/officeDocument/2006/relationships/image" Target="/media/image3.jpg" Id="R83ecb4c6a4514e8e" /><Relationship Type="http://schemas.openxmlformats.org/officeDocument/2006/relationships/hyperlink" Target="https://resourcehub.bakermckenzie.com/en/-/media/fighting-domestic-violence/reports/reports/2022_fdv_usa_california.pdf?rev=264c2ccbacbe419cac7b1a4f17de9c13&amp;sc_lang=en" TargetMode="External" Id="Rdaba452663984fe3" /><Relationship Type="http://schemas.openxmlformats.org/officeDocument/2006/relationships/image" Target="/media/image4.jpg" Id="Rc6ba3edb79ef4321" /><Relationship Type="http://schemas.openxmlformats.org/officeDocument/2006/relationships/hyperlink" Target="https://leginfo.legislature.ca.gov/faces/codes_displaySection.xhtml?sectionNum=6211.&amp;amp;lawCode=FAM" TargetMode="External" Id="R4c31438a690c4cdf" /><Relationship Type="http://schemas.openxmlformats.org/officeDocument/2006/relationships/hyperlink" Target="https://leginfo.legislature.ca.gov/faces/codes_displaySection.xhtml?sectionNum=646.9&amp;amp;lawCode=PEN" TargetMode="External" Id="R4268ce41712c4d20" /><Relationship Type="http://schemas.openxmlformats.org/officeDocument/2006/relationships/hyperlink" Target="https://leginfo.legislature.ca.gov/faces/codes_displaySection.xhtml?sectionNum=527.6&amp;amp;lawCode=CCP" TargetMode="External" Id="Re8fe0465e75948df" /><Relationship Type="http://schemas.openxmlformats.org/officeDocument/2006/relationships/hyperlink" Target="https://leginfo.legislature.ca.gov/faces/codes_displayText.xhtml?lawCode=FAM&amp;amp;division=10.&amp;amp;title=&amp;amp;part=1.&amp;amp;chapter=&amp;amp;article=" TargetMode="External" Id="Rdc52f0eb8eab4265" /><Relationship Type="http://schemas.openxmlformats.org/officeDocument/2006/relationships/hyperlink" Target="https://leginfo.legislature.ca.gov/faces/codes_displaySection.xhtml?sectionNum=262.&amp;amp;lawCode=PEN#:~:text=(a)%20Rape%20of%20a%20person,on%20the%20person%20or%20another." TargetMode="External" Id="R25ed13d01bad4ba6" /><Relationship Type="http://schemas.openxmlformats.org/officeDocument/2006/relationships/hyperlink" Target="https://leginfo.legislature.ca.gov/faces/codes_displayText.xhtml?lawCode=FAM&amp;amp;division=10.&amp;amp;title=&amp;amp;part=1.&amp;amp;chapter=&amp;amp;article=" TargetMode="External" Id="R55e4c3c52b4e4965" /><Relationship Type="http://schemas.openxmlformats.org/officeDocument/2006/relationships/hyperlink" Target="https://www.courts.ca.gov/selfhelp-domesticviolence.htm" TargetMode="External" Id="Rc4a6bdd72003449c" /><Relationship Type="http://schemas.openxmlformats.org/officeDocument/2006/relationships/hyperlink" Target="https://leginfo.legislature.ca.gov/faces/codes_displaySection.xhtml?sectionNum=6320.&amp;amp;lawCode=FAM" TargetMode="External" Id="R999b9dab270d4643" /><Relationship Type="http://schemas.openxmlformats.org/officeDocument/2006/relationships/hyperlink" Target="https://leginfo.legislature.ca.gov/faces/codes_displaySection.xhtml?sectionNum=6321.&amp;amp;lawCode=FAM" TargetMode="External" Id="R9cafd5f8b32e4e4a" /><Relationship Type="http://schemas.openxmlformats.org/officeDocument/2006/relationships/hyperlink" Target="https://www.courts.ca.gov/documents/dv505info.pdf" TargetMode="External" Id="R6a96dae424e5495b" /><Relationship Type="http://schemas.openxmlformats.org/officeDocument/2006/relationships/hyperlink" Target="https://leginfo.legislature.ca.gov/faces/codes_displayText.xhtml?lawCode=PEN&amp;amp;division=&amp;amp;title=15.&amp;amp;part=1.&amp;amp;chapter=1.5.&amp;amp;article=" TargetMode="External" Id="R246c6ee5414e42a7" /><Relationship Type="http://schemas.openxmlformats.org/officeDocument/2006/relationships/hyperlink" Target="https://leginfo.legislature.ca.gov/faces/codes_displaySection.xhtml?sectionNum=633.5.&amp;amp;lawCode=PEN" TargetMode="External" Id="R90aed730b9e64287" /><Relationship Type="http://schemas.openxmlformats.org/officeDocument/2006/relationships/hyperlink" Target="https://leginfo.legislature.ca.gov/faces/codes_displaySection.xhtml?sectionNum=633.6.&amp;amp;lawCode=PEN" TargetMode="External" Id="Rf762f71b4b4f46f5" /><Relationship Type="http://schemas.openxmlformats.org/officeDocument/2006/relationships/hyperlink" Target="https://www.sos.ca.gov/registries/safe-home" TargetMode="External" Id="R4e3534a221c54baf" /><Relationship Type="http://schemas.openxmlformats.org/officeDocument/2006/relationships/hyperlink" Target="https://leginfo.legislature.ca.gov/faces/codes_displaySection.xhtml?sectionNum=6205.&amp;amp;lawCode=GOV" TargetMode="External" Id="Rf26bf20308a646ea" /><Relationship Type="http://schemas.openxmlformats.org/officeDocument/2006/relationships/hyperlink" Target="https://leginfo.legislature.ca.gov/faces/codes_displaySection.xhtml?sectionNum=2045.&amp;amp;lawCode=FAM" TargetMode="External" Id="Ra0abf1b820104a5b" /><Relationship Type="http://schemas.openxmlformats.org/officeDocument/2006/relationships/hyperlink" Target="https://www.courts.ca.gov/documents/dv100.pdf" TargetMode="External" Id="Rfb97ed9e6d214b67" /><Relationship Type="http://schemas.openxmlformats.org/officeDocument/2006/relationships/hyperlink" Target="https://leginfo.legislature.ca.gov/faces/codes_displaySection.xhtml?sectionNum=6321.&amp;amp;lawCode=FAM" TargetMode="External" Id="Rdaeb418677584293" /><Relationship Type="http://schemas.openxmlformats.org/officeDocument/2006/relationships/hyperlink" Target="https://leginfo.legislature.ca.gov/faces/codes_displaySection.xhtml?sectionNum=6324.&amp;amp;lawCode=FAM" TargetMode="External" Id="R639e6bf74cfd4cde" /><Relationship Type="http://schemas.openxmlformats.org/officeDocument/2006/relationships/hyperlink" Target="https://leginfo.legislature.ca.gov/faces/codes_displaySection.xhtml?sectionNum=6340.&amp;amp;lawCode=FAM" TargetMode="External" Id="Rd14f641ea8a44ae1" /><Relationship Type="http://schemas.openxmlformats.org/officeDocument/2006/relationships/hyperlink" Target="https://leginfo.legislature.ca.gov/faces/codes_displaySection.xhtml?sectionNum=1946.7.&amp;amp;lawCode=CIV" TargetMode="External" Id="R95cde254716c407d" /><Relationship Type="http://schemas.openxmlformats.org/officeDocument/2006/relationships/hyperlink" Target="https://leginfo.legislature.ca.gov/faces/codes_displaySection.xhtml?lawCode=CCP&amp;amp;sectionNum=1161.3." TargetMode="External" Id="R55c56b7f6b834205" /><Relationship Type="http://schemas.openxmlformats.org/officeDocument/2006/relationships/hyperlink" Target="https://leginfo.legislature.ca.gov/faces/codes_displaySection.xhtml?sectionNum=3042.&amp;amp;lawCode=FAM" TargetMode="External" Id="R2e0a66e4c3c049ac" /><Relationship Type="http://schemas.openxmlformats.org/officeDocument/2006/relationships/hyperlink" Target="https://leginfo.legislature.ca.gov/faces/codes_displaySection.xhtml?lawCode=FAM&amp;amp;sectionNum=3080." TargetMode="External" Id="R66b781c48ffa4b5f" /><Relationship Type="http://schemas.openxmlformats.org/officeDocument/2006/relationships/hyperlink" Target="https://leginfo.legislature.ca.gov/faces/billTextClient.xhtml?bill_id=201920200SB1141" TargetMode="External" Id="Ree596c0b42354d44" /><Relationship Type="http://schemas.openxmlformats.org/officeDocument/2006/relationships/hyperlink" Target="https://leginfo.legislature.ca.gov/faces/codes_displaySection.xhtml?lawCode=FAM&amp;amp;sectionNum=6320." TargetMode="External" Id="R3c1abda12fe345cb" /><Relationship Type="http://schemas.openxmlformats.org/officeDocument/2006/relationships/hyperlink" Target="https://www.law.cornell.edu/uscode/text/10/1567" TargetMode="External" Id="Rfda29a3945764e0c" /><Relationship Type="http://schemas.openxmlformats.org/officeDocument/2006/relationships/hyperlink" Target="https://www.esd.whs.mil/Portals/54/Documents/DD/forms/dd/dd2873_2020.pdf" TargetMode="External" Id="Rc7a7f08abc5c4306" /><Relationship Type="http://schemas.openxmlformats.org/officeDocument/2006/relationships/hyperlink" Target="https://www.courts.ca.gov/selfhelp-domesticviolence.htm" TargetMode="External" Id="R532b9f957dd743ec" /><Relationship Type="http://schemas.openxmlformats.org/officeDocument/2006/relationships/hyperlink" Target="https://leginfo.legislature.ca.gov/faces/codes_displaySection.xhtml?sectionNum=243.&amp;amp;lawCode=PEN" TargetMode="External" Id="Rb8d2649416794e2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