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Lite - The Netherlands</w:t>
      </w:r>
      <w:r w:rsidR="00480329"/>
    </w:p>
    <w:p w:rsidRPr="00BC7873" w:rsidR="00BC7873" w:rsidP="00D354EF" w:rsidRDefault="00051AB4" w14:paraId="2476CC56" w14:textId="2FB25FA9">
      <w:pPr>
        <w:pStyle w:val="Title"/>
      </w:pPr>
      <w:r w:rsidRPr="00BC7873">
        <w:t>Key Data and Cybersecurity Laws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data privacy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December 2025</w:t>
              </w:r>
            </w:p>
            <w:p>
              <w:pPr>
                <w:pStyle w:val="BodyText"/>
              </w:pPr>
              <w:r>
                <w:rPr>
                  <w:i/>
                </w:rPr>
                <w:t xml:space="preserve">Please note that this chapter focuses solely on specific local laws and regulations. Please refer to the EU chapter of the Global Data &amp; Cyber Handbook for detailed information on EU-wide data privacy and other data-related legislation applicable across all EU Member States, such as the EU GDPR and the EU AI Act.</w:t>
              </w:r>
            </w:p>
            <w:p>
              <w:pPr>
                <w:pStyle w:val="BodyText"/>
              </w:pPr>
              <w:pPr>
                <w:pStyle w:val="ListParagraph"/>
                <w:numPr>
                  <w:ilvl w:val="0"/>
                  <w:numId w:val="10"/>
                </w:numPr>
              </w:pPr>
              <w:r>
                <w:t xml:space="preserve">The Dutch GDPR Implementation Act ("</w:t>
              </w:r>
              <w:r>
                <w:rPr>
                  <w:b/>
                </w:rPr>
                <w:t xml:space="preserve">UAVG</w:t>
              </w:r>
              <w:r>
                <w:t xml:space="preserve">") of 16 May 2018, which serves to supplement the GDPR, available </w:t>
              </w:r>
              <w:hyperlink w:history="true" r:id="R3bb0dcebf0db472d">
                <w:r>
                  <w:rPr>
                    <w:rStyle w:val="Hyperlink"/>
                  </w:rPr>
                  <w:t xml:space="preserve">here</w:t>
                </w:r>
              </w:hyperlink>
            </w:p>
            <w:p>
              <w:pPr>
                <w:pStyle w:val="BodyText"/>
              </w:pPr>
              <w:pPr>
                <w:pStyle w:val="ListParagraph"/>
                <w:numPr>
                  <w:ilvl w:val="0"/>
                  <w:numId w:val="10"/>
                </w:numPr>
              </w:pPr>
              <w:r>
                <w:t xml:space="preserve">Dutch Telecommunications Act (</w:t>
              </w:r>
              <w:r>
                <w:rPr>
                  <w:i/>
                </w:rPr>
                <w:t xml:space="preserve">Telecommunicatiewet</w:t>
              </w:r>
              <w:r>
                <w:t xml:space="preserve">) of 19 October 1998 (as amended), implementing the ePrivacy Directive, available </w:t>
              </w:r>
              <w:hyperlink w:history="true" r:id="R3a3d52144a944bb1">
                <w:r>
                  <w:rPr>
                    <w:rStyle w:val="Hyperlink"/>
                  </w:rPr>
                  <w:t xml:space="preserve">here</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cybersecurity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December 2025</w:t>
              </w:r>
            </w:p>
            <w:p>
              <w:pPr>
                <w:pStyle w:val="BodyText"/>
              </w:pPr>
              <w:r>
                <w:rPr>
                  <w:i/>
                </w:rPr>
                <w:t xml:space="preserve">Please note that this chapter focuses solely on specific local laws and regulations. Please refer to the EU chapter of the Global Data &amp; Cyber Handbook for detailed information on EU-wide cybersecurity and other data-related legislation applicable across all EU Member States, including the Cybersecurity Act, DORA, and the NIS 2 Directive.</w:t>
              </w:r>
            </w:p>
            <w:p>
              <w:pPr>
                <w:pStyle w:val="BodyText"/>
              </w:pPr>
              <w:pPr>
                <w:pStyle w:val="ListParagraph"/>
                <w:numPr>
                  <w:ilvl w:val="0"/>
                  <w:numId w:val="9"/>
                </w:numPr>
              </w:pPr>
              <w:r>
                <w:t xml:space="preserve">Dutch Telecommunications Act (</w:t>
              </w:r>
              <w:r>
                <w:rPr>
                  <w:i/>
                </w:rPr>
                <w:t xml:space="preserve">Telecommunicatiewet</w:t>
              </w:r>
              <w:r>
                <w:t xml:space="preserve">), implementing the European Electronic Communications Code ("</w:t>
              </w:r>
              <w:r>
                <w:rPr>
                  <w:b/>
                </w:rPr>
                <w:t xml:space="preserve">EECC</w:t>
              </w:r>
              <w:r>
                <w:t xml:space="preserve">"), available </w:t>
              </w:r>
              <w:hyperlink w:history="true" r:id="Rbbddeb534f10489b">
                <w:r>
                  <w:rPr>
                    <w:rStyle w:val="Hyperlink"/>
                  </w:rPr>
                  <w:t xml:space="preserve">here</w:t>
                </w:r>
              </w:hyperlink>
            </w:p>
            <w:p>
              <w:pPr>
                <w:pStyle w:val="BodyText"/>
              </w:pPr>
              <w:pPr>
                <w:pStyle w:val="ListParagraph"/>
                <w:numPr>
                  <w:ilvl w:val="0"/>
                  <w:numId w:val="9"/>
                </w:numPr>
              </w:pPr>
              <w:r>
                <w:t xml:space="preserve">Dutch Network and Information Security Act (</w:t>
              </w:r>
              <w:r>
                <w:rPr>
                  <w:i/>
                </w:rPr>
                <w:t xml:space="preserve">Wet beveiliging netwerk- en informatiesystemen" or "Wbni"</w:t>
              </w:r>
              <w:r>
                <w:t xml:space="preserve">), implementing the </w:t>
              </w:r>
              <w:r>
                <w:rPr>
                  <w:color w:val="202124"/>
                </w:rPr>
                <w:t xml:space="preserve">Directive on Security of Network and Information Systems ("</w:t>
              </w:r>
              <w:r>
                <w:rPr>
                  <w:b/>
                  <w:color w:val="202124"/>
                </w:rPr>
                <w:t xml:space="preserve">NIS Directive</w:t>
              </w:r>
              <w:r>
                <w:rPr>
                  <w:color w:val="202124"/>
                </w:rPr>
                <w:t xml:space="preserve">"), available </w:t>
              </w:r>
              <w:hyperlink w:history="true" r:id="Rc6d85bf41c774ae5">
                <w:r>
                  <w:rPr>
                    <w:rStyle w:val="Hyperlink"/>
                  </w:rPr>
                  <w:t xml:space="preserve">here</w:t>
                </w:r>
              </w:hyperlink>
              <w:r>
                <w:t xml:space="preserve">. The Wbni will be replaced by the Dutch Cybersecurity Act ("</w:t>
              </w:r>
              <w:r>
                <w:rPr>
                  <w:i/>
                </w:rPr>
                <w:t xml:space="preserve">Cyberbeveiligingswet"</w:t>
              </w:r>
              <w:r>
                <w:t xml:space="preserve">), once final and adopted, implementing the NIS 2 Directive (</w:t>
              </w:r>
              <w:hyperlink w:history="true" r:id="R7e8b9d4ac1894e33">
                <w:r>
                  <w:rPr>
                    <w:rStyle w:val="Hyperlink"/>
                  </w:rPr>
                  <w:t xml:space="preserve">here</w:t>
                </w:r>
              </w:hyperlink>
              <w:r>
                <w:t xml:space="preserve">). The Dutch implementation of NIS 2 is delayed; it is currently envisaged that the Dutch Cybersecurity Act will enter into force in Q2 of 2026.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laws and regulations relating to non-personal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December 2025</w:t>
              </w:r>
            </w:p>
            <w:p>
              <w:pPr>
                <w:pStyle w:val="BodyText"/>
              </w:pPr>
              <w:r>
                <w:rPr>
                  <w:i/>
                </w:rPr>
                <w:t xml:space="preserve">Please note that this chapter focuses solely on specific local laws and regulations. Please refer to the EU chapter of the Global Data &amp; Cyber Handbook for detailed information on EU-wide legislation related to non-personal data, also applicable in all EU Member States, such as the Regulation on the free flow of non-personal data, the Data Governance Act, the Data Act, etc.</w:t>
              </w:r>
            </w:p>
            <w:p>
              <w:pPr>
                <w:pStyle w:val="BodyText"/>
              </w:pPr>
              <w:r>
                <w:t xml:space="preserve">There is no specific Dutch legislation regulating non-personal data. </w:t>
              </w:r>
            </w:p>
          </w:sdtContent>
        </w:sdt>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etten.overheid.nl/BWBR0009950/2025-09-01" TargetMode="External" Id="Rbbddeb534f10489b" /><Relationship Type="http://schemas.openxmlformats.org/officeDocument/2006/relationships/hyperlink" Target="https://wetten.overheid.nl/BWBR0041515/2024-10-01" TargetMode="External" Id="Rc6d85bf41c774ae5" /><Relationship Type="http://schemas.openxmlformats.org/officeDocument/2006/relationships/hyperlink" Target="https://eur-lex.europa.eu/eli/dir/2022/2555/oj" TargetMode="External" Id="R7e8b9d4ac1894e33" /><Relationship Type="http://schemas.openxmlformats.org/officeDocument/2006/relationships/hyperlink" Target="https://wetten.overheid.nl/BWBR0040940/2021-07-01" TargetMode="External" Id="R3bb0dcebf0db472d" /><Relationship Type="http://schemas.openxmlformats.org/officeDocument/2006/relationships/hyperlink" Target="https://wetten.overheid.nl/BWBR0009950/2025-09-01" TargetMode="External" Id="R3a3d52144a944bb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