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International Data Transfer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restrictions on the transfer of personal data to third countries?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pPr>
                <w:spacing w:after="0"/>
              </w:pPr>
              <w:r>
                <w:rPr>
                  <w:b/>
                </w:rPr>
                <w:t xml:space="preserve">Yes</w:t>
              </w:r>
            </w:p>
            <w:p>
              <w:pPr>
                <w:pStyle w:val="BodyText"/>
              </w:pPr>
              <w:r>
                <w:t xml:space="preserve">A third country means a jurisdiction different from Argentina.</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r>
                <w:br/>
              </w:r>
              <w:r>
                <w:t xml:space="preserve">☒       approved standard contractual clauses</w:t>
              </w:r>
              <w:r>
                <w:br/>
              </w:r>
              <w:r>
                <w:t xml:space="preserve">☒       binding corporate rules</w:t>
              </w:r>
              <w:r>
                <w:br/>
              </w:r>
              <w:r>
                <w:t xml:space="preserve">☒       derogations, such as consent, contract performance, necessity to establish, exercise or defend legal claims</w:t>
              </w:r>
              <w:r>
                <w:br/>
              </w: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For instance, Data Transfer Agreements differ from the controller-to-controller and controller-to-processor models issued by the DPA and do not observe the principles, guarantees and content of such models. In such cases, these should be filed with the DPA for approval. The same approach should be followed when using corporate rules that do not comply with the guidelines and principles issued by the DPA.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