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Finland</w:t>
      </w:r>
      <w:r w:rsidR="00480329"/>
    </w:p>
    <w:p w:rsidRPr="00BC7873" w:rsidR="00BC7873" w:rsidP="00D354EF" w:rsidRDefault="00051AB4" w14:paraId="2476CC56" w14:textId="2FB25FA9">
      <w:pPr>
        <w:pStyle w:val="Title"/>
      </w:pPr>
      <w:r w:rsidRPr="00BC7873">
        <w:t>Key Data &amp; Cybersecurity Laws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data and cybersecurity laws/regulations implemented?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 omnibus – all personal data</w:t>
              </w:r>
            </w:p>
            <w:p>
              <w:pPr>
                <w:pStyle w:val="BodyText"/>
              </w:pPr>
              <w:r>
                <w:t xml:space="preserve">☒ sector-specific</w:t>
              </w:r>
            </w:p>
            <w:p>
              <w:pPr>
                <w:pStyle w:val="BodyText"/>
              </w:pPr>
              <w:r>
                <w:t xml:space="preserve">E.g., healthcare and social welfare sector, telecoms sector, law enforcement, employment context</w:t>
              </w:r>
            </w:p>
            <w:p>
              <w:pPr>
                <w:pStyle w:val="BodyText"/>
              </w:pPr>
              <w:r>
                <w:t xml:space="preserve">☒ constitutional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data privacy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rPr>
                  <w:i/>
                </w:rPr>
                <w:t xml:space="preserve">Please refer to the </w:t>
              </w:r>
              <w:hyperlink w:history="true" r:id="R1eb1ee7b3b0446fd">
                <w:r>
                  <w:rPr>
                    <w:rStyle w:val="Hyperlink"/>
                    <w:i/>
                  </w:rPr>
                  <w:t xml:space="preserve">EU Chapter</w:t>
                </w:r>
              </w:hyperlink>
              <w:r>
                <w:rPr>
                  <w:i/>
                </w:rPr>
                <w:t xml:space="preserve"> for detailed information regarding EU-wide cybersecurity and other data-related legislation.</w:t>
              </w:r>
            </w:p>
            <w:p>
              <w:pPr>
                <w:pStyle w:val="BodyText"/>
              </w:pPr>
              <w:pPr>
                <w:pStyle w:val="ListParagraph"/>
                <w:numPr>
                  <w:ilvl w:val="0"/>
                  <w:numId w:val="12"/>
                </w:numPr>
              </w:pPr>
              <w:hyperlink w:history="true" r:id="R4ab50debf233432c">
                <w:r>
                  <w:rPr>
                    <w:rStyle w:val="Hyperlink"/>
                  </w:rPr>
                  <w:t xml:space="preserve">EU General Data Protection Regulation</w:t>
                </w:r>
              </w:hyperlink>
            </w:p>
            <w:p>
              <w:pPr>
                <w:pStyle w:val="BodyText"/>
              </w:pPr>
              <w:pPr>
                <w:pStyle w:val="ListParagraph"/>
                <w:numPr>
                  <w:ilvl w:val="0"/>
                  <w:numId w:val="12"/>
                </w:numPr>
              </w:pPr>
              <w:r>
                <w:t xml:space="preserve">The </w:t>
              </w:r>
              <w:hyperlink w:history="true" r:id="R9d7661348b084235">
                <w:r>
                  <w:rPr>
                    <w:rStyle w:val="Hyperlink"/>
                  </w:rPr>
                  <w:t xml:space="preserve">Finnish Data Protection Act</w:t>
                </w:r>
              </w:hyperlink>
              <w:r>
                <w:t xml:space="preserve"> (1050/2018, "</w:t>
              </w:r>
              <w:r>
                <w:rPr>
                  <w:b/>
                </w:rPr>
                <w:t xml:space="preserve">DPA</w:t>
              </w:r>
              <w:r>
                <w:t xml:space="preserve">") (up-to-date and legally binding versions available only in Finnish and Swedish, unofficial English translation available on </w:t>
              </w:r>
              <w:hyperlink w:history="true" r:id="Rf69243e87bc94e23">
                <w:r>
                  <w:rPr>
                    <w:rStyle w:val="Hyperlink"/>
                  </w:rPr>
                  <w:t xml:space="preserve">https://www.finlex.fi/fi/laki/kaannokset/2018/en20181050_20230239.pdf</w:t>
                </w:r>
              </w:hyperlink>
              <w:r>
                <w:t xml:space="preserve">)</w:t>
              </w:r>
            </w:p>
            <w:p>
              <w:pPr>
                <w:pStyle w:val="BodyText"/>
              </w:pPr>
              <w:pPr>
                <w:pStyle w:val="ListParagraph"/>
                <w:numPr>
                  <w:ilvl w:val="0"/>
                  <w:numId w:val="12"/>
                </w:numPr>
              </w:pPr>
              <w:r>
                <w:t xml:space="preserve">The </w:t>
              </w:r>
              <w:hyperlink w:history="true" r:id="R31e9b0b8a50a42e7">
                <w:r>
                  <w:rPr>
                    <w:rStyle w:val="Hyperlink"/>
                  </w:rPr>
                  <w:t xml:space="preserve">Finnish Act on Electronic Communications Services</w:t>
                </w:r>
              </w:hyperlink>
              <w:r>
                <w:t xml:space="preserve"> (917/2014, "</w:t>
              </w:r>
              <w:r>
                <w:rPr>
                  <w:b/>
                </w:rPr>
                <w:t xml:space="preserve">AECS</w:t>
              </w:r>
              <w:r>
                <w:t xml:space="preserve">") (up-to-date and legally binding versions available only in Finnish and Swedish, unofficial English translation available on </w:t>
              </w:r>
              <w:hyperlink w:history="true" r:id="Rfba9e6ed299642c9">
                <w:r>
                  <w:rPr>
                    <w:rStyle w:val="Hyperlink"/>
                  </w:rPr>
                  <w:t xml:space="preserve">https://www.finlex.fi/fi/laki/kaannokset/2014/en20140917_20201207.pdf</w:t>
                </w:r>
              </w:hyperlink>
              <w:r>
                <w:t xml:space="preserve">)</w:t>
              </w:r>
            </w:p>
            <w:p>
              <w:pPr>
                <w:pStyle w:val="BodyText"/>
              </w:pPr>
              <w:pPr>
                <w:pStyle w:val="ListParagraph"/>
                <w:numPr>
                  <w:ilvl w:val="0"/>
                  <w:numId w:val="12"/>
                </w:numPr>
              </w:pPr>
              <w:hyperlink w:history="true" r:id="Rebdab401b17a4209">
                <w:r>
                  <w:rPr>
                    <w:rStyle w:val="Hyperlink"/>
                  </w:rPr>
                  <w:t xml:space="preserve">The Finnish Act on the Protection of Privacy in Working Life</w:t>
                </w:r>
              </w:hyperlink>
              <w:r>
                <w:t xml:space="preserve"> (759/2004) (up-to-date and legally binding versions available only in Finnish and Swedish, unofficial English translation available on </w:t>
              </w:r>
              <w:hyperlink w:history="true" r:id="R2dc5b0502acc47cc">
                <w:r>
                  <w:rPr>
                    <w:rStyle w:val="Hyperlink"/>
                  </w:rPr>
                  <w:t xml:space="preserve">https://www.finlex.fi/fi/laki/kaannokset/2004/en20040759_20190347.pdf</w:t>
                </w:r>
              </w:hyperlink>
              <w:r>
                <w:t xml:space="preserve">)</w:t>
              </w:r>
            </w:p>
            <w:p>
              <w:pPr>
                <w:pStyle w:val="BodyText"/>
              </w:pPr>
              <w:pPr>
                <w:pStyle w:val="ListParagraph"/>
                <w:numPr>
                  <w:ilvl w:val="0"/>
                  <w:numId w:val="12"/>
                </w:numPr>
              </w:pPr>
              <w:r>
                <w:t xml:space="preserve">The Finnish </w:t>
              </w:r>
              <w:hyperlink w:history="true" r:id="Rdf55fbe1936f40c4">
                <w:r>
                  <w:rPr>
                    <w:rStyle w:val="Hyperlink"/>
                  </w:rPr>
                  <w:t xml:space="preserve">Act on the Processing of Personal Data in Criminal Matters and in Connection with Maintaining National Security</w:t>
                </w:r>
              </w:hyperlink>
              <w:r>
                <w:t xml:space="preserve"> (1054/2018) (up-to-date and legally binding versions available only in Finnish and Swedish, unofficial English translation available on </w:t>
              </w:r>
              <w:hyperlink w:history="true" r:id="R8a0a2c7a94024b2e">
                <w:r>
                  <w:rPr>
                    <w:rStyle w:val="Hyperlink"/>
                  </w:rPr>
                  <w:t xml:space="preserve">https://www.finlex.fi/fi/laki/kaannokset/2018/en20181054_20231226.pdf</w:t>
                </w:r>
              </w:hyperlink>
              <w:r>
                <w:t xml:space="preser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cybersecurity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rPr>
                  <w:i/>
                </w:rPr>
                <w:t xml:space="preserve">Please refer to the </w:t>
              </w:r>
              <w:hyperlink w:history="true" r:id="R72766ce5be414854">
                <w:r>
                  <w:rPr>
                    <w:rStyle w:val="Hyperlink"/>
                    <w:i/>
                  </w:rPr>
                  <w:t xml:space="preserve">EU Chapter</w:t>
                </w:r>
              </w:hyperlink>
              <w:r>
                <w:rPr>
                  <w:i/>
                </w:rPr>
                <w:t xml:space="preserve"> for detailed information regarding EU-wide cybersecurity and other data-related legislation.</w:t>
              </w:r>
            </w:p>
            <w:p>
              <w:pPr>
                <w:pStyle w:val="BodyText"/>
              </w:pPr>
              <w:pPr>
                <w:pStyle w:val="ListParagraph"/>
                <w:numPr>
                  <w:ilvl w:val="0"/>
                  <w:numId w:val="10"/>
                </w:numPr>
              </w:pPr>
              <w:r>
                <w:t xml:space="preserve">Cybersecurity Act (not yet in effect)</w:t>
              </w:r>
            </w:p>
            <w:p>
              <w:pPr>
                <w:pStyle w:val="BodyText"/>
              </w:pPr>
              <w:pPr>
                <w:pStyle w:val="ListParagraph"/>
                <w:numPr>
                  <w:ilvl w:val="1"/>
                  <w:numId w:val="11"/>
                </w:numPr>
                <w:ind w:left="1560"/>
              </w:pPr>
              <w:r>
                <w:t xml:space="preserve">The Government has submitted to Parliament a government bill for legislation to implement the NIS 2 Directive on 23 May 2024 (government bill 57/2024 vp). The parliamentary consideration of the government bill is currently ongoing, and it is not specified when the national laws implementing the NIS2 Directive will come into effect. Finland will implement the NIS 2 Directive with a new Cybersecurity Act. This article has been written according to the provisions found in the government bill for the new Cybersecurity Act. All references to the act in question will be marked with *. </w:t>
              </w:r>
            </w:p>
            <w:p>
              <w:pPr>
                <w:pStyle w:val="BodyText"/>
              </w:pPr>
              <w:pPr>
                <w:pStyle w:val="ListParagraph"/>
                <w:numPr>
                  <w:ilvl w:val="0"/>
                  <w:numId w:val="10"/>
                </w:numPr>
              </w:pPr>
              <w:hyperlink w:history="true" r:id="R49cf41ea5bcc49d0">
                <w:r>
                  <w:rPr>
                    <w:rStyle w:val="Hyperlink"/>
                  </w:rPr>
                  <w:t xml:space="preserve">Act on Strong Electronic Identification and Electronic Trust Services</w:t>
                </w:r>
              </w:hyperlink>
              <w:r>
                <w:t xml:space="preserve"> (617/2009) (up-to-date and legally binding versions available only in Finnish and Swedish, unofficial English translation available on https://www.finlex.fi/fi/laki/kaannokset/2009/en20090617_20190412.pdf)</w:t>
              </w:r>
            </w:p>
            <w:p>
              <w:pPr>
                <w:pStyle w:val="BodyText"/>
              </w:pPr>
              <w:pPr>
                <w:pStyle w:val="ListParagraph"/>
                <w:numPr>
                  <w:ilvl w:val="0"/>
                  <w:numId w:val="10"/>
                </w:numPr>
              </w:pPr>
              <w:hyperlink w:history="true" r:id="Rf7f1e0873e3e4b49">
                <w:r>
                  <w:rPr>
                    <w:rStyle w:val="Hyperlink"/>
                  </w:rPr>
                  <w:t xml:space="preserve">Act on Electronic Communications Services</w:t>
                </w:r>
              </w:hyperlink>
              <w:r>
                <w:t xml:space="preserve"> (917/2014) (up-to-date and legally binding versions available only in Finnish and Swedish, unofficial English translation available on </w:t>
              </w:r>
              <w:hyperlink w:history="true" r:id="R5d4211e145454d7e">
                <w:r>
                  <w:rPr>
                    <w:rStyle w:val="Hyperlink"/>
                  </w:rPr>
                  <w:t xml:space="preserve">https://www.finlex.fi/en/laki/kaannokset/2014/en20140917_20201207.pdf</w:t>
                </w:r>
              </w:hyperlink>
              <w:r>
                <w:t xml:space="preserve">)</w:t>
              </w:r>
            </w:p>
            <w:p>
              <w:pPr>
                <w:pStyle w:val="BodyText"/>
              </w:pPr>
              <w:pPr>
                <w:pStyle w:val="ListParagraph"/>
                <w:numPr>
                  <w:ilvl w:val="0"/>
                  <w:numId w:val="10"/>
                </w:numPr>
              </w:pPr>
              <w:hyperlink w:history="true" r:id="Reab8eb687f7f46b4">
                <w:r>
                  <w:rPr>
                    <w:rStyle w:val="Hyperlink"/>
                  </w:rPr>
                  <w:t xml:space="preserve">Act on Information Management in Public Administration</w:t>
                </w:r>
              </w:hyperlink>
              <w:r>
                <w:t xml:space="preserve"> (906/2019) (up-to-date and legally binding versions available only in Finnish and Swedish, unofficial English translation available on </w:t>
              </w:r>
              <w:hyperlink w:history="true" r:id="Ra7c8800389c640f8">
                <w:r>
                  <w:rPr>
                    <w:rStyle w:val="Hyperlink"/>
                  </w:rPr>
                  <w:t xml:space="preserve">https://www.finlex.fi/en/laki/kaannokset/2019/en20190906.pdf</w:t>
                </w:r>
              </w:hyperlink>
              <w:r>
                <w:t xml:space="preserve">)</w:t>
              </w:r>
            </w:p>
            <w:p>
              <w:pPr>
                <w:pStyle w:val="BodyText"/>
              </w:pPr>
              <w:pPr>
                <w:pStyle w:val="ListParagraph"/>
                <w:numPr>
                  <w:ilvl w:val="0"/>
                  <w:numId w:val="10"/>
                </w:numPr>
              </w:pPr>
              <w:hyperlink w:history="true" r:id="Rdc3621a6ec7949d8">
                <w:r>
                  <w:rPr>
                    <w:rStyle w:val="Hyperlink"/>
                  </w:rPr>
                  <w:t xml:space="preserve">Criminal Code</w:t>
                </w:r>
              </w:hyperlink>
              <w:r>
                <w:t xml:space="preserve"> (39/1889) (up-to-date and legally binding versions available only in Finnish and Swedish, unofficial English translation available on </w:t>
              </w:r>
              <w:hyperlink w:history="true" r:id="Re6a342d7081e4076">
                <w:r>
                  <w:rPr>
                    <w:rStyle w:val="Hyperlink"/>
                  </w:rPr>
                  <w:t xml:space="preserve">https://www.finlex.fi/fi/laki/kaannokset/1889/en18890039_20210433.pdf</w:t>
                </w:r>
              </w:hyperlink>
              <w:r>
                <w:t xml:space="preser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laws and regulations relating to non-personal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pPr>
                <w:pStyle w:val="ListParagraph"/>
                <w:numPr>
                  <w:ilvl w:val="0"/>
                  <w:numId w:val="9"/>
                </w:numPr>
              </w:pPr>
              <w:r>
                <w:t xml:space="preserve">EU Regulation on the Free Flow of Non-Personal Data (Regulation 2018/1807)</w:t>
              </w:r>
            </w:p>
            <w:p>
              <w:pPr>
                <w:pStyle w:val="BodyText"/>
              </w:pPr>
              <w:pPr>
                <w:pStyle w:val="ListParagraph"/>
                <w:numPr>
                  <w:ilvl w:val="0"/>
                  <w:numId w:val="9"/>
                </w:numPr>
              </w:pPr>
              <w:r>
                <w:t xml:space="preserve">EU Data Act (Regulation 2023/2854)</w:t>
              </w:r>
            </w:p>
            <w:p>
              <w:pPr>
                <w:pStyle w:val="BodyText"/>
              </w:pPr>
              <w:pPr>
                <w:pStyle w:val="ListParagraph"/>
                <w:numPr>
                  <w:ilvl w:val="0"/>
                  <w:numId w:val="9"/>
                </w:numPr>
              </w:pPr>
              <w:hyperlink w:history="true" r:id="Re0791d610e374318">
                <w:r>
                  <w:rPr>
                    <w:rStyle w:val="Hyperlink"/>
                  </w:rPr>
                  <w:t xml:space="preserve">Act on the Openness of Government Activities</w:t>
                </w:r>
              </w:hyperlink>
              <w:r>
                <w:t xml:space="preserve"> (621/1999) (up-to-date and legally binding versions available only in Finnish and Swedish, unofficial English translation available on </w:t>
              </w:r>
              <w:hyperlink w:history="true" r:id="R3fb49a8f1e1f4d48">
                <w:r>
                  <w:rPr>
                    <w:rStyle w:val="Hyperlink"/>
                  </w:rPr>
                  <w:t xml:space="preserve">https://www.finlex.fi/en/laki/kaannokset/1999/en19990621_20150907.pdf</w:t>
                </w:r>
              </w:hyperlink>
              <w:r>
                <w:t xml:space="preser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new or material changes to those key data and cybersecurity laws anticipated in the near future?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Finland will implement the NIS 2 Directive with a new Cybersecurity Act.</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19"/>
    <w:lvlOverride w:ilvl="0">
      <w:startOverride w:val="1"/>
    </w:lvlOverride>
  </w:num>
  <w:num w:numId="12">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finlex.fi/fi/laki/ajantasa/1999/19990621" TargetMode="External" Id="Re0791d610e374318" /><Relationship Type="http://schemas.openxmlformats.org/officeDocument/2006/relationships/hyperlink" Target="https://www.finlex.fi/en/laki/kaannokset/1999/en19990621_20150907.pdf" TargetMode="External" Id="R3fb49a8f1e1f4d48" /><Relationship Type="http://schemas.openxmlformats.org/officeDocument/2006/relationships/hyperlink" Target="https://resourcehub.bakermckenzie.com/en/en/resources/global-data-and-cyber-handbook/emea/eu" TargetMode="External" Id="R72766ce5be414854" /><Relationship Type="http://schemas.openxmlformats.org/officeDocument/2006/relationships/hyperlink" Target="https://www.finlex.fi/fi/laki/ajantasa/2009/20090617" TargetMode="External" Id="R49cf41ea5bcc49d0" /><Relationship Type="http://schemas.openxmlformats.org/officeDocument/2006/relationships/hyperlink" Target="https://www.finlex.fi/fi/laki/ajantasa/2014/20140917" TargetMode="External" Id="Rf7f1e0873e3e4b49" /><Relationship Type="http://schemas.openxmlformats.org/officeDocument/2006/relationships/hyperlink" Target="https://www.finlex.fi/en/laki/kaannokset/2014/en20140917_20201207.pdf" TargetMode="External" Id="R5d4211e145454d7e" /><Relationship Type="http://schemas.openxmlformats.org/officeDocument/2006/relationships/hyperlink" Target="https://www.finlex.fi/fi/laki/alkup/2019/20190906" TargetMode="External" Id="Reab8eb687f7f46b4" /><Relationship Type="http://schemas.openxmlformats.org/officeDocument/2006/relationships/hyperlink" Target="https://www.finlex.fi/en/laki/kaannokset/2019/en20190906.pdf" TargetMode="External" Id="Ra7c8800389c640f8" /><Relationship Type="http://schemas.openxmlformats.org/officeDocument/2006/relationships/hyperlink" Target="https://www.finlex.fi/fi/laki/ajantasa/1889/18890039001" TargetMode="External" Id="Rdc3621a6ec7949d8" /><Relationship Type="http://schemas.openxmlformats.org/officeDocument/2006/relationships/hyperlink" Target="https://www.finlex.fi/fi/laki/kaannokset/1889/en18890039_20210433.pdf" TargetMode="External" Id="Re6a342d7081e4076" /><Relationship Type="http://schemas.openxmlformats.org/officeDocument/2006/relationships/hyperlink" Target="https://resourcehub.bakermckenzie.com/en/en/resources/global-data-and-cyber-handbook/emea/eu" TargetMode="External" Id="R1eb1ee7b3b0446fd" /><Relationship Type="http://schemas.openxmlformats.org/officeDocument/2006/relationships/hyperlink" Target="https://eur-lex.europa.eu/legal-content/EN/TXT/?uri=CELEX:32016R0679" TargetMode="External" Id="R4ab50debf233432c" /><Relationship Type="http://schemas.openxmlformats.org/officeDocument/2006/relationships/hyperlink" Target="https://www.finlex.fi/fi/laki/ajantasa/2018/20181050" TargetMode="External" Id="R9d7661348b084235" /><Relationship Type="http://schemas.openxmlformats.org/officeDocument/2006/relationships/hyperlink" Target="https://www.finlex.fi/fi/laki/kaannokset/2018/en20181050_20230239.pdf" TargetMode="External" Id="Rf69243e87bc94e23" /><Relationship Type="http://schemas.openxmlformats.org/officeDocument/2006/relationships/hyperlink" Target="https://finlex.fi/fi/laki/ajantasa/2014/20140917" TargetMode="External" Id="R31e9b0b8a50a42e7" /><Relationship Type="http://schemas.openxmlformats.org/officeDocument/2006/relationships/hyperlink" Target="https://www.finlex.fi/fi/laki/kaannokset/2014/en20140917_20201207.pdf" TargetMode="External" Id="Rfba9e6ed299642c9" /><Relationship Type="http://schemas.openxmlformats.org/officeDocument/2006/relationships/hyperlink" Target="https://finlex.fi/fi/laki/ajantasa/2004/20040759" TargetMode="External" Id="Rebdab401b17a4209" /><Relationship Type="http://schemas.openxmlformats.org/officeDocument/2006/relationships/hyperlink" Target="https://www.finlex.fi/fi/laki/kaannokset/2004/en20040759_20190347.pdf" TargetMode="External" Id="R2dc5b0502acc47cc" /><Relationship Type="http://schemas.openxmlformats.org/officeDocument/2006/relationships/hyperlink" Target="https://www.finlex.fi/fi/laki/ajantasa/2018/20181054" TargetMode="External" Id="Rdf55fbe1936f40c4" /><Relationship Type="http://schemas.openxmlformats.org/officeDocument/2006/relationships/hyperlink" Target="https://www.finlex.fi/fi/laki/kaannokset/2018/en20181054_20231226.pdf" TargetMode="External" Id="R8a0a2c7a94024b2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