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Super reduced rate</w:t>
                  </w:r>
                </w:p>
                <w:p>
                  <w:pPr>
                    <w:pStyle w:val="BodyText"/>
                  </w:pPr>
                  <w:r>
                    <w:t xml:space="preserve">Not applicable</w:t>
                  </w:r>
                </w:p>
                <w:p>
                  <w:pPr>
                    <w:pStyle w:val="BodyText"/>
                  </w:pPr>
                  <w:r>
                    <w:rPr>
                      <w:b/>
                    </w:rPr>
                    <w:t xml:space="preserve">Reduced rate</w:t>
                  </w:r>
                </w:p>
                <w:p>
                  <w:pPr>
                    <w:pStyle w:val="BodyText"/>
                  </w:pPr>
                  <w:r>
                    <w:t xml:space="preserve">10 / 13 / 19</w:t>
                  </w:r>
                  <w:hyperlink w:history="true" r:id="Rd9702265998748b4">
                    <w:r>
                      <w:rPr>
                        <w:rStyle w:val="Hyperlink"/>
                        <w:vertAlign w:val="superscript"/>
                      </w:rPr>
                      <w:t xml:space="preserve">[1]</w:t>
                    </w:r>
                  </w:hyperlink>
                </w:p>
                <w:p>
                  <w:pPr>
                    <w:pStyle w:val="BodyText"/>
                  </w:pPr>
                  <w:r>
                    <w:rPr>
                      <w:b/>
                    </w:rPr>
                    <w:t xml:space="preserve">Standard rate</w:t>
                  </w:r>
                </w:p>
                <w:p>
                  <w:pPr>
                    <w:pStyle w:val="BodyText"/>
                  </w:pPr>
                  <w:r>
                    <w:t xml:space="preserve">20</w:t>
                  </w:r>
                </w:p>
                <w:p>
                  <w:pPr>
                    <w:pStyle w:val="BodyText"/>
                  </w:pPr>
                  <w:r>
                    <w:rPr>
                      <w:b/>
                    </w:rPr>
                    <w:t xml:space="preserve">Parking rate</w:t>
                  </w:r>
                </w:p>
                <w:p>
                  <w:pPr>
                    <w:pStyle w:val="BodyText"/>
                  </w:pPr>
                  <w:r>
                    <w:t xml:space="preserve">Not applicable</w:t>
                  </w:r>
                </w:p>
                <w:p>
                  <w:pPr>
                    <w:pStyle w:val="BodyText"/>
                  </w:pPr>
                  <w:r>
                    <w:t xml:space="preserve"> </w:t>
                  </w:r>
                </w:p>
                <w:p>
                  <w:pPr>
                    <w:pStyle w:val="BodyText"/>
                  </w:pPr>
                  <w:r>
                    <w:t xml:space="preserve">_______________ </w:t>
                  </w:r>
                </w:p>
                <w:p>
                  <w:pPr>
                    <w:pStyle w:val="BodyText"/>
                  </w:pPr>
                  <w:hyperlink w:history="true" r:id="Rb0c0981263174219">
                    <w:r>
                      <w:rPr>
                        <w:rStyle w:val="Hyperlink"/>
                        <w:u w:val="single"/>
                      </w:rPr>
                      <w:t xml:space="preserve">[1]</w:t>
                    </w:r>
                  </w:hyperlink>
                  <w:r>
                    <w:t xml:space="preserve"> The VAT rate of 19% is only applicable to businesses resident in the area of Mittelberg and Jungholz and only to certain transactions effected in these areas.</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d9702265998748b4" /><Relationship Type="http://schemas.openxmlformats.org/officeDocument/2006/relationships/hyperlink" Target="https://resourcehub.bakermckenzie.com/en#ftnref1" TargetMode="External" Id="Rb0c098126317421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