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BC7873" w:rsidR="00BC7873" w:rsidP="00CD1FAF" w:rsidRDefault="009E2793" w14:paraId="5605F879" w14:textId="37852614">
      <w:pPr>
        <w:pStyle w:val="Subtitle"/>
      </w:pPr>
      <w:r w:rsidRPr="00BC7873">
        <w:t>Global Financial Services Regulatory Guide - Italy</w:t>
      </w:r>
      <w:r w:rsidR="00480329"/>
    </w:p>
    <w:p w:rsidRPr="00BC7873" w:rsidR="00BC7873" w:rsidP="00D354EF" w:rsidRDefault="00051AB4" w14:paraId="2476CC56" w14:textId="2FB25FA9">
      <w:pPr>
        <w:pStyle w:val="Title"/>
      </w:pPr>
      <w:r w:rsidRPr="00BC7873">
        <w:t>3. What types of activities require a license in your jurisdiction?</w:t>
      </w:r>
    </w:p>
    <w:p w:rsidR="008020A8" w:rsidP="0066374E" w:rsidRDefault="00761F2A" w14:paraId="4EBE9349" w14:textId="77777777">
      <w:pPr>
        <w:pStyle w:val="Table"/>
      </w:pPr>
      <w:r>
        <w:br w:type="page"/>
      </w: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0" w:type="dxa"/>
          <w:right w:w="0" w:type="dxa"/>
        </w:tblCellMar>
        <w:tblLook w:val="04A0" w:firstRow="1" w:lastRow="0" w:firstColumn="1" w:lastColumn="0" w:noHBand="0" w:noVBand="1"/>
      </w:tblPr>
      <w:tblGrid>
        <w:gridCol w:w="8990"/>
      </w:tblGrid>
      <w:tr w:rsidR="003077B1" w:rsidTr="00704FB4" w14:paraId="1745895E" w14:textId="77777777">
        <w:trPr>
          <w:tblHeader/>
        </w:trPr>
        <w:tc>
          <w:tcPr>
            <w:tcW w:w="8990" w:type="dxa"/>
          </w:tcPr>
          <w:p w:rsidR="003077B1" w:rsidP="00E702F0" w:rsidRDefault="003077B1" w14:paraId="28BA89CF" w14:textId="77777777">
            <w:pPr>
              <w:pStyle w:val="TOCHeading"/>
              <w:spacing w:after="160"/>
            </w:pPr>
            <w:r>
              <w:lastRenderedPageBreak/>
              <w:t>Contents</w:t>
            </w:r>
          </w:p>
        </w:tc>
      </w:tr>
      <w:tr w:rsidR="003077B1" w:rsidTr="00704FB4" w14:paraId="412879A6" w14:textId="77777777">
        <w:tc>
          <w:tcPr>
            <w:tcW w:w="8990" w:type="dxa"/>
          </w:tcPr>
          <w:sdt>
            <w:sdtPr>
              <w:rPr>
                <w:rFonts w:asciiTheme="minorHAnsi" w:hAnsiTheme="minorHAnsi"/>
                <w:b/>
                <w:bCs/>
                <w:noProof/>
              </w:rPr>
              <w:id w:val="1154019052"/>
              <w:docPartObj>
                <w:docPartGallery w:val="Table of Contents"/>
                <w:docPartUnique/>
              </w:docPartObj>
            </w:sdtPr>
            <w:sdtEndPr>
              <w:rPr>
                <w:rFonts w:ascii="Arial" w:hAnsi="Arial"/>
                <w:b w:val="0"/>
                <w:bCs w:val="0"/>
                <w:noProof w:val="0"/>
              </w:rPr>
            </w:sdtEndPr>
            <w:sdtContent>
              <w:bookmarkStart w:name="_Toc33529396" w:displacedByCustomXml="next" w:id="0"/>
              <w:sdt>
                <w:sdtPr>
                  <w:rPr>
                    <w:rFonts w:asciiTheme="minorHAnsi" w:hAnsiTheme="minorHAnsi"/>
                    <w:b/>
                    <w:bCs/>
                    <w:noProof/>
                  </w:rPr>
                  <w:id w:val="-518013989"/>
                  <w:docPartObj>
                    <w:docPartGallery w:val="Table of Contents"/>
                    <w:docPartUnique/>
                  </w:docPartObj>
                </w:sdtPr>
                <w:sdtEndPr>
                  <w:rPr>
                    <w:rFonts w:ascii="Arial" w:hAnsi="Arial"/>
                    <w:b w:val="0"/>
                    <w:bCs w:val="0"/>
                    <w:noProof w:val="0"/>
                    <w:sz w:val="20"/>
                  </w:rPr>
                </w:sdtEndPr>
                <w:sdtContent>
                  <w:bookmarkEnd w:displacedByCustomXml="prev" w:id="0"/>
                  <w:p w:rsidRPr="0097103A" w:rsidR="003077B1" w:rsidP="00E702F0" w:rsidRDefault="003077B1" w14:paraId="61B39358" w14:textId="77777777">
                    <w:pPr>
                      <w:pStyle w:val="TOC1"/>
                      <w:rPr>
                        <w:sz w:val="20"/>
                      </w:rPr>
                    </w:pPr>
                    <w:r>
                      <w:fldChar w:fldCharType="begin"/>
                    </w:r>
                    <w:r>
                      <w:instrText xml:space="preserve"> TOC \o "1-2" \h \z \u </w:instrText>
                    </w:r>
                    <w:r>
                      <w:fldChar w:fldCharType="separate"/>
                    </w:r>
                    <w:r>
                      <w:t xml:space="preserve">To generate table of contents, right-click here and select </w:t>
                    </w:r>
                    <w:r w:rsidRPr="008816BB">
                      <w:rPr>
                        <w:b/>
                        <w:bCs/>
                      </w:rPr>
                      <w:t>Update Field</w:t>
                    </w:r>
                    <w:r>
                      <w:rPr>
                        <w:b/>
                        <w:bCs/>
                        <w:noProof/>
                      </w:rPr>
                      <w:t>.</w:t>
                    </w:r>
                    <w:r>
                      <w:rPr>
                        <w:b/>
                        <w:bCs/>
                        <w:noProof/>
                      </w:rPr>
                      <w:fldChar w:fldCharType="end"/>
                    </w:r>
                  </w:p>
                </w:sdtContent>
              </w:sdt>
            </w:sdtContent>
          </w:sdt>
        </w:tc>
      </w:tr>
    </w:tbl>
    <w:p w:rsidRPr="008020A8" w:rsidR="00FC6796" w:rsidP="008020A8" w:rsidRDefault="00FC6796" w14:paraId="623D7F49" w14:textId="06FCCF22">
      <w:r>
        <w:br w:type="page"/>
      </w:r>
    </w:p>
    <w:sdt>
      <w:sdtPr>
        <w:rPr>
          <w:rFonts w:eastAsiaTheme="minorHAnsi" w:cstheme="minorBidi"/>
          <w:b w:val="0"/>
          <w:color w:val="auto"/>
          <w:sz w:val="20"/>
          <w:szCs w:val="22"/>
        </w:rPr>
        <w:id w:val="-2027546159"/>
        <w:placeholder>
          <w:docPart w:val="DefaultPlaceholder_-1854013435"/>
        </w:placeholder>
        <w15:repeatingSectionItem/>
      </w:sdtPr>
      <w:sdtEndPr/>
      <w:sdtContent>
        <w:p w:rsidRPr="008020A8" w:rsidR="002263CD" w:rsidP="002263CD" w:rsidRDefault="002263CD" w14:paraId="0C719C3F" w14:textId="703033C8">
          <w:pPr>
            <w:pStyle w:val="Heading1"/>
          </w:pPr>
          <w:r>
            <w:t>What types of activities require a license in your jurisdiction?</w:t>
          </w:r>
        </w:p>
        <w:bookmarkStart w:name="_Toc42606705" w:displacedByCustomXml="next" w:id="1"/>
        <w:sdt>
          <w:sdtPr>
            <w:rPr>
              <w:rFonts w:eastAsiaTheme="minorHAnsi" w:cstheme="minorBidi"/>
              <w:color w:val="auto"/>
              <w:sz w:val="20"/>
              <w:szCs w:val="20"/>
            </w:rPr>
            <w:id w:val="331497857"/>
            <w:placeholder>
              <w:docPart w:val="50B9E9BC9CD645C4AEC5AAC81F840459"/>
            </w:placeholder>
            <w15:repeatingSectionItem/>
          </w:sdtPr>
          <w:sdtEndPr>
            <w:rPr>
              <w:szCs w:val="22"/>
            </w:rPr>
          </w:sdtEndPr>
          <w:sdtContent>
            <w:bookmarkEnd w:displacedByCustomXml="next" w:id="1"/>
            <w:p>
              <w:pPr>
                <w:pStyle w:val="BodyText"/>
              </w:pPr>
              <w:r>
                <w:t xml:space="preserve">Italy regulates a broad range of financial activities. These include, among others, the following:</w:t>
              </w:r>
            </w:p>
            <w:p>
              <w:pPr>
                <w:pStyle w:val="BodyText"/>
              </w:pPr>
              <w:pPr>
                <w:pStyle w:val="ListParagraph"/>
                <w:numPr>
                  <w:ilvl w:val="0"/>
                  <w:numId w:val="9"/>
                </w:numPr>
              </w:pPr>
              <w:r>
                <w:t xml:space="preserve">Accepting deposits – This covers the acquisition of funds with a repayment obligation in the form of deposits or in any other form.</w:t>
              </w:r>
            </w:p>
            <w:p>
              <w:pPr>
                <w:pStyle w:val="BodyText"/>
              </w:pPr>
              <w:pPr>
                <w:pStyle w:val="ListParagraph"/>
                <w:numPr>
                  <w:ilvl w:val="0"/>
                  <w:numId w:val="9"/>
                </w:numPr>
              </w:pPr>
              <w:r>
                <w:t xml:space="preserve">Issuing electronic money – Electronic money is a prepaid electronic payment product that can be a card- or account-based.</w:t>
              </w:r>
            </w:p>
            <w:p>
              <w:pPr>
                <w:pStyle w:val="BodyText"/>
              </w:pPr>
              <w:pPr>
                <w:pStyle w:val="ListParagraph"/>
                <w:numPr>
                  <w:ilvl w:val="0"/>
                  <w:numId w:val="9"/>
                </w:numPr>
              </w:pPr>
              <w:r>
                <w:t xml:space="preserve">Carrying out payment services – This covers a broad range of activities involving matters such as execution of credit transfers, operating a payment account, execution of payment transactions, transfer of funds and the execution of direct debits.</w:t>
              </w:r>
            </w:p>
            <w:p>
              <w:pPr>
                <w:pStyle w:val="BodyText"/>
              </w:pPr>
              <w:pPr>
                <w:pStyle w:val="ListParagraph"/>
                <w:numPr>
                  <w:ilvl w:val="0"/>
                  <w:numId w:val="9"/>
                </w:numPr>
              </w:pPr>
              <w:r>
                <w:t xml:space="preserve">Granting of financing – This covers the granting of financing, in any form, to the public and includes loans, finance leases, factoring, and issuance of guarantees and performance bonds.</w:t>
              </w:r>
            </w:p>
            <w:p>
              <w:pPr>
                <w:pStyle w:val="BodyText"/>
              </w:pPr>
              <w:pPr>
                <w:pStyle w:val="ListParagraph"/>
                <w:numPr>
                  <w:ilvl w:val="0"/>
                  <w:numId w:val="9"/>
                </w:numPr>
              </w:pPr>
              <w:r>
                <w:t xml:space="preserve">Investment consultancy – This activity covers the provision of advice on the merits of acquiring or disposing of particular investments.</w:t>
              </w:r>
            </w:p>
            <w:p>
              <w:pPr>
                <w:pStyle w:val="BodyText"/>
              </w:pPr>
              <w:pPr>
                <w:pStyle w:val="ListParagraph"/>
                <w:numPr>
                  <w:ilvl w:val="0"/>
                  <w:numId w:val="9"/>
                </w:numPr>
              </w:pPr>
              <w:r>
                <w:t xml:space="preserve">Reception and transmission of orders – This covers both the reception and the transmission of orders by the client regarding the subscription and the buying and selling of financial instruments.</w:t>
              </w:r>
            </w:p>
            <w:p>
              <w:pPr>
                <w:pStyle w:val="BodyText"/>
              </w:pPr>
              <w:r>
                <w:t xml:space="preserve">On 20 February 2024, the Italian Ministry of Economy and Finance (MEF) launched a public consultation on draft legislative decrees concerning the alignment of Italian domestic legislation with, respectively: (i) Regulation (EU) No. 1114 of 31 May 2023 on markets in crypto-assets, and amending Regulations (EU) No. 1093/2010 and (EU) No. 1095/2010, and Directives 2013/36/EU and (EU) 2019/1937 (MiCAR); and (ii) Regulation (EU) No. 1113 of 31 May 2023, on information accompanying transfers of funds and certain crypto-assets and amending Directive (EU) 2015/849 (TFR). </w:t>
              </w:r>
            </w:p>
            <w:p>
              <w:pPr>
                <w:pStyle w:val="BodyText"/>
              </w:pPr>
              <w:r>
                <w:t xml:space="preserve">In particular, the draft legislative decree aligning Italian domestic legislation with the MiCAR provides for the following:</w:t>
              </w:r>
            </w:p>
            <w:p>
              <w:pPr>
                <w:pStyle w:val="BodyText"/>
              </w:pPr>
              <w:pPr>
                <w:pStyle w:val="ListParagraph"/>
                <w:numPr>
                  <w:ilvl w:val="0"/>
                  <w:numId w:val="10"/>
                </w:numPr>
              </w:pPr>
              <w:r>
                <w:t xml:space="preserve">Identification of the national authorities competent for the supervision on the crypto-assets space and related services</w:t>
              </w:r>
            </w:p>
            <w:p>
              <w:pPr>
                <w:pStyle w:val="BodyText"/>
              </w:pPr>
              <w:pPr>
                <w:pStyle w:val="ListParagraph"/>
                <w:numPr>
                  <w:ilvl w:val="0"/>
                  <w:numId w:val="10"/>
                </w:numPr>
              </w:pPr>
              <w:r>
                <w:t xml:space="preserve">Establishment of the authorization procedures for the issuance of tokens</w:t>
              </w:r>
            </w:p>
            <w:p>
              <w:pPr>
                <w:pStyle w:val="BodyText"/>
              </w:pPr>
              <w:pPr>
                <w:pStyle w:val="ListParagraph"/>
                <w:numPr>
                  <w:ilvl w:val="0"/>
                  <w:numId w:val="10"/>
                </w:numPr>
              </w:pPr>
              <w:r>
                <w:t xml:space="preserve">Introduction of specific provisions for issuers of asset-referenced token (ART Issuers) and crypto-asset service providers (CASPs)</w:t>
              </w:r>
            </w:p>
            <w:p>
              <w:pPr>
                <w:pStyle w:val="BodyText"/>
              </w:pPr>
              <w:pPr>
                <w:pStyle w:val="ListParagraph"/>
                <w:numPr>
                  <w:ilvl w:val="0"/>
                  <w:numId w:val="10"/>
                </w:numPr>
              </w:pPr>
              <w:r>
                <w:t xml:space="preserve">Adoption of dedicated provisions regulating the voluntary liquidation and crisis of ART Issuers and CASPs that are not subject to specific provisions by virtue of their status as regulated entities</w:t>
              </w:r>
            </w:p>
            <w:p>
              <w:pPr>
                <w:pStyle w:val="BodyText"/>
              </w:pPr>
              <w:pPr>
                <w:pStyle w:val="ListParagraph"/>
                <w:numPr>
                  <w:ilvl w:val="0"/>
                  <w:numId w:val="10"/>
                </w:numPr>
              </w:pPr>
              <w:r>
                <w:t xml:space="preserve">Repealing of provisions introducing the current regulatory framework for providers of services relating to the use of virtual currencies and custodian wallet providers</w:t>
              </w:r>
            </w:p>
            <w:p>
              <w:pPr>
                <w:pStyle w:val="BodyText"/>
              </w:pPr>
              <w:pPr>
                <w:pStyle w:val="ListParagraph"/>
                <w:numPr>
                  <w:ilvl w:val="0"/>
                  <w:numId w:val="10"/>
                </w:numPr>
              </w:pPr>
              <w:r>
                <w:t xml:space="preserve">The draft legislative decree aligning Italian domestic legislation with the TFR provides for the following:</w:t>
              </w:r>
            </w:p>
            <w:p>
              <w:pPr>
                <w:pStyle w:val="BodyText"/>
              </w:pPr>
              <w:pPr>
                <w:pStyle w:val="ListParagraph"/>
                <w:numPr>
                  <w:ilvl w:val="0"/>
                  <w:numId w:val="10"/>
                </w:numPr>
              </w:pPr>
              <w:r>
                <w:t xml:space="preserve">Qualification of CASPs as obliged subjects, under the category of banking and financial intermediaries, for the purpose of the application of Legislative Decree No. 231 of 21 November 2007 (Italian AML Decree) and implementing regulations issued by the Bank of Italy </w:t>
              </w:r>
            </w:p>
            <w:p>
              <w:pPr>
                <w:pStyle w:val="BodyText"/>
              </w:pPr>
              <w:pPr>
                <w:pStyle w:val="ListParagraph"/>
                <w:numPr>
                  <w:ilvl w:val="0"/>
                  <w:numId w:val="10"/>
                </w:numPr>
              </w:pPr>
              <w:r>
                <w:t xml:space="preserve">Attribution to the Bank of Italy of supervisory powers on CASPs for AML purposes</w:t>
              </w:r>
            </w:p>
            <w:p>
              <w:pPr>
                <w:pStyle w:val="BodyText"/>
              </w:pPr>
              <w:pPr>
                <w:pStyle w:val="ListParagraph"/>
                <w:numPr>
                  <w:ilvl w:val="0"/>
                  <w:numId w:val="10"/>
                </w:numPr>
              </w:pPr>
              <w:r>
                <w:t xml:space="preserve">Repealing of provisions introducing the current AML framework for service providers relating to virtual currencies and custodian wallet providers</w:t>
              </w:r>
            </w:p>
            <w:p>
              <w:pPr>
                <w:pStyle w:val="BodyText"/>
              </w:pPr>
              <w:r>
                <w:t xml:space="preserve">The deadline for the submission of observations expired on 22 March 2024.</w:t>
              </w:r>
            </w:p>
          </w:sdtContent>
        </w:sdt>
      </w:sdtContent>
    </w:sdt>
    <w:p>
      <w:pPr>
        <w:pStyle w:val="Disclaimer"/>
      </w:pPr>
      <w:r>
        <w:t xml:space="preserve">©Copyright © 2026 Baker &amp; McKenzie. All rights reserved. </w:t>
      </w:r>
      <w:r>
        <w:rPr>
          <w:b/>
        </w:rPr>
        <w:t xml:space="preserve">Ownership</w:t>
      </w:r>
      <w:r>
        <w:t xml:space="preserve">: This documentation and content (Content) is a proprietary resource owned exclusively by Baker McKenzie (meaning Baker &amp; McKenzie International and its member firms). The Content is protected under international copyright conventions. Use of this Content does not of itself create a contractual relationship, nor any attorney/client relationship, between Baker McKenzie and any person.</w:t>
      </w:r>
      <w:r>
        <w:rPr>
          <w:b/>
        </w:rPr>
        <w:t xml:space="preserve"> Non-reliance and exclusion</w:t>
      </w:r>
      <w:r>
        <w:t xml:space="preserve">: All Content is for informational purposes only and may not reflect the most current legal and regulatory developments. All summaries of the laws, regulations and practice are subject to change. The Content is not offered as legal or professional advice for any specific matter. It is not intended to be a substitute for reference to (and compliance with) the detailed provisions of applicable laws, rules, regulations or forms. Legal advice should always be sought before taking any action or refraining from taking any action based on any Content. Baker McKenzie and the editors and the contributing authors do not guarantee the accuracy of the Content and expressly disclaim any and all liability to any person in respect of the consequences of anything done or permitted to be done or omitted to be done wholly or partly in reliance upon the whole or any part of the Content. The Content may contain links to external websites and external websites may link to the Content. Baker McKenzie is not responsible for the content or operation of any such external sites and disclaims all liability, howsoever occurring, in respect of the content or operation of any such external websites. </w:t>
      </w:r>
      <w:r>
        <w:rPr>
          <w:b/>
        </w:rPr>
        <w:t xml:space="preserve">Attorney Advertising</w:t>
      </w:r>
      <w:r>
        <w:t xml:space="preserve">: This Content may qualify as “Attorney Advertising” requiring notice in some jurisdictions. To the extent that this Content may qualify as Attorney Advertising, PRIOR RESULTS DO NOT GUARANTEE A SIMILAR OUTCOME. </w:t>
      </w:r>
      <w:r>
        <w:rPr>
          <w:b/>
        </w:rPr>
        <w:t xml:space="preserve">Reproduction</w:t>
      </w:r>
      <w:r>
        <w:t xml:space="preserve">: Reproduction or copying of the Content on this Site without express written authorization is strictly prohibited.</w:t>
      </w:r>
    </w:p>
    <w:p w:rsidR="00896739" w:rsidP="002263CD" w:rsidRDefault="00896739" w14:paraId="7AC5DB4C" w14:textId="03536B3B">
      <w:pPr>
        <w:pStyle w:val="Heading1"/>
      </w:pPr>
    </w:p>
    <w:sectPr w:rsidR="00896739" w:rsidSect="003A3B65">
      <w:headerReference w:type="even" r:id="rId13"/>
      <w:headerReference w:type="default" r:id="rId14"/>
      <w:footerReference w:type="even" r:id="rId15"/>
      <w:footerReference w:type="default" r:id="rId16"/>
      <w:headerReference w:type="first" r:id="rId17"/>
      <w:footerReference w:type="first" r:id="rId18"/>
      <w:type w:val="continuous"/>
      <w:pgSz w:w="12240" w:h="15840"/>
      <w:pgMar w:top="1440" w:right="1800" w:bottom="1440" w:left="1440" w:header="1152" w:footer="43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A23D79" w:rsidP="008407E2" w:rsidRDefault="00A23D79" w14:paraId="1F41059E" w14:textId="77777777">
      <w:pPr>
        <w:spacing w:after="0" w:line="240" w:lineRule="auto"/>
      </w:pPr>
      <w:r>
        <w:separator/>
      </w:r>
    </w:p>
  </w:endnote>
  <w:endnote w:type="continuationSeparator" w:id="0">
    <w:p w:rsidR="00A23D79" w:rsidP="008407E2" w:rsidRDefault="00A23D79" w14:paraId="231B5348"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Bold">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CA02A4" w:rsidRDefault="00CA02A4" w14:paraId="698A951B"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407E2" w:rsidP="004865F9" w:rsidRDefault="00DD4C73" w14:paraId="1AC669BB" w14:textId="20A7D692">
    <w:pPr>
      <w:pStyle w:val="Footertext"/>
      <w:spacing w:after="120"/>
    </w:pPr>
    <w:r>
      <w:t>www.</w:t>
    </w:r>
    <w:r w:rsidR="00507F6E">
      <w:t>bakermckenzie.com</w:t>
    </w:r>
    <w:r w:rsidR="00885799">
      <w:tab/>
      <w:t xml:space="preserve">Copyright </w:t>
    </w:r>
    <w:r w:rsidR="00885799">
      <w:fldChar w:fldCharType="begin"/>
    </w:r>
    <w:r w:rsidR="00885799">
      <w:instrText xml:space="preserve"> DATE  \@ "yyyy"  \* MERGEFORMAT </w:instrText>
    </w:r>
    <w:r w:rsidR="00885799">
      <w:fldChar w:fldCharType="separate"/>
    </w:r>
    <w:r w:rsidR="00436762">
      <w:rPr>
        <w:noProof/>
      </w:rPr>
      <w:t>2021</w:t>
    </w:r>
    <w:r w:rsidR="00885799">
      <w:fldChar w:fldCharType="end"/>
    </w:r>
    <w:r w:rsidR="00885799">
      <w:tab/>
    </w:r>
    <w:r w:rsidR="00885799">
      <w:fldChar w:fldCharType="begin"/>
    </w:r>
    <w:r w:rsidR="00885799">
      <w:instrText xml:space="preserve"> PAGE  \* Arabic  \* MERGEFORMAT </w:instrText>
    </w:r>
    <w:r w:rsidR="00885799">
      <w:fldChar w:fldCharType="separate"/>
    </w:r>
    <w:r w:rsidR="00885799">
      <w:rPr>
        <w:noProof/>
      </w:rPr>
      <w:t>2</w:t>
    </w:r>
    <w:r w:rsidR="00885799">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13686E" w:rsidP="00D7761C" w:rsidRDefault="0078230C" w14:paraId="1DFFD4A1" w14:textId="1DAF2B70">
    <w:pPr>
      <w:pStyle w:val="Footertext"/>
      <w:spacing w:after="120"/>
    </w:pPr>
    <w:r w:rsidRPr="0078230C">
      <w:t>https://resourcehub.bakermckenzie.com/en/resources/global-financial-services-regulatory-guide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A23D79" w:rsidP="008407E2" w:rsidRDefault="00A23D79" w14:paraId="103E162A" w14:textId="77777777">
      <w:pPr>
        <w:spacing w:after="0" w:line="240" w:lineRule="auto"/>
      </w:pPr>
      <w:r>
        <w:separator/>
      </w:r>
    </w:p>
  </w:footnote>
  <w:footnote w:type="continuationSeparator" w:id="0">
    <w:p w:rsidR="00A23D79" w:rsidP="008407E2" w:rsidRDefault="00A23D79" w14:paraId="44532360"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CA02A4" w:rsidRDefault="00CA02A4" w14:paraId="4F0F7B7C" w14:textId="77777777">
    <w:pPr>
      <w:pStyle w:val="Header"/>
    </w:pPr>
  </w:p>
</w:hdr>
</file>

<file path=word/header2.xml><?xml version="1.0" encoding="utf-8"?>
<w:hdr xmlns:a="http://schemas.openxmlformats.org/drawingml/2006/main" xmlns:pic="http://schemas.openxmlformats.org/drawingml/2006/picture" xmlns:a14="http://schemas.microsoft.com/office/drawing/2010/main" xmlns:asvg="http://schemas.microsoft.com/office/drawing/2016/SVG/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407E2" w:rsidP="00507F6E" w:rsidRDefault="002D177D" w14:paraId="702939D2" w14:textId="77777777">
    <w:pPr>
      <w:pStyle w:val="Header"/>
      <w:spacing w:after="600"/>
    </w:pPr>
    <w:r>
      <w:rPr>
        <w:noProof/>
      </w:rPr>
      <w:drawing>
        <wp:inline distT="0" distB="0" distL="0" distR="0" wp14:anchorId="01D4742B" wp14:editId="1CA000EA">
          <wp:extent cx="1191555" cy="417044"/>
          <wp:effectExtent l="0" t="0" r="0" b="2540"/>
          <wp:docPr id="9" name="Graphic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Graphic 9"/>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191555" cy="417044"/>
                  </a:xfrm>
                  <a:prstGeom prst="rect">
                    <a:avLst/>
                  </a:prstGeom>
                </pic:spPr>
              </pic:pic>
            </a:graphicData>
          </a:graphic>
        </wp:inline>
      </w:drawing>
    </w:r>
  </w:p>
</w:hdr>
</file>

<file path=word/header3.xml><?xml version="1.0" encoding="utf-8"?>
<w:hdr xmlns:a="http://schemas.openxmlformats.org/drawingml/2006/main" xmlns:pic="http://schemas.openxmlformats.org/drawingml/2006/picture" xmlns:a14="http://schemas.microsoft.com/office/drawing/2010/main" xmlns:asvg="http://schemas.microsoft.com/office/drawing/2016/SVG/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57C25" w:rsidP="00536331" w:rsidRDefault="00536331" w14:paraId="60E40330" w14:textId="61291996">
    <w:pPr>
      <w:pStyle w:val="Header"/>
      <w:spacing w:after="600"/>
    </w:pPr>
    <w:r>
      <w:rPr>
        <w:noProof/>
      </w:rPr>
      <w:drawing>
        <wp:inline distT="0" distB="0" distL="0" distR="0" wp14:anchorId="00C785F5" wp14:editId="04CB1085">
          <wp:extent cx="1191555" cy="417044"/>
          <wp:effectExtent l="0" t="0" r="0" b="2540"/>
          <wp:docPr id="2" name="Graphic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phic 2"/>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191555" cy="417044"/>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B37CD"/>
    <w:multiLevelType w:val="hybridMultilevel"/>
    <w:tmpl w:val="2D7E9C06"/>
    <w:lvl w:ilvl="0" w:tplc="61462266">
      <w:numFmt w:val="bullet"/>
      <w:lvlText w:val="-"/>
      <w:lvlJc w:val="left"/>
      <w:pPr>
        <w:ind w:left="720" w:hanging="360"/>
      </w:pPr>
      <w:rPr>
        <w:rFonts w:hint="default" w:ascii="Arial" w:hAnsi="Arial" w:cs="Arial"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 w15:restartNumberingAfterBreak="0">
    <w:nsid w:val="11D82F34"/>
    <w:multiLevelType w:val="hybridMultilevel"/>
    <w:tmpl w:val="993E4862"/>
    <w:lvl w:ilvl="0" w:tplc="C51C6E72">
      <w:numFmt w:val="bullet"/>
      <w:lvlText w:val="-"/>
      <w:lvlJc w:val="left"/>
      <w:pPr>
        <w:ind w:left="720" w:hanging="360"/>
      </w:pPr>
      <w:rPr>
        <w:rFonts w:hint="default" w:ascii="Arial" w:hAnsi="Arial" w:cs="Arial"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 w15:restartNumberingAfterBreak="0">
    <w:nsid w:val="357B74DD"/>
    <w:multiLevelType w:val="multilevel"/>
    <w:tmpl w:val="1124EE02"/>
    <w:styleLink w:val="1aiA"/>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upperLetter"/>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15:restartNumberingAfterBreak="0">
    <w:nsid w:val="504C34DA"/>
    <w:multiLevelType w:val="hybridMultilevel"/>
    <w:tmpl w:val="E536E77A"/>
    <w:lvl w:ilvl="0" w:tplc="28E67952">
      <w:numFmt w:val="bullet"/>
      <w:lvlText w:val="-"/>
      <w:lvlJc w:val="left"/>
      <w:pPr>
        <w:ind w:left="410" w:hanging="360"/>
      </w:pPr>
      <w:rPr>
        <w:rFonts w:hint="default" w:ascii="Calibri" w:hAnsi="Calibri" w:cs="Calibri" w:eastAsiaTheme="minorHAnsi"/>
      </w:rPr>
    </w:lvl>
    <w:lvl w:ilvl="1" w:tplc="04090003" w:tentative="1">
      <w:start w:val="1"/>
      <w:numFmt w:val="bullet"/>
      <w:lvlText w:val="o"/>
      <w:lvlJc w:val="left"/>
      <w:pPr>
        <w:ind w:left="1130" w:hanging="360"/>
      </w:pPr>
      <w:rPr>
        <w:rFonts w:hint="default" w:ascii="Courier New" w:hAnsi="Courier New" w:cs="Courier New"/>
      </w:rPr>
    </w:lvl>
    <w:lvl w:ilvl="2" w:tplc="04090005" w:tentative="1">
      <w:start w:val="1"/>
      <w:numFmt w:val="bullet"/>
      <w:lvlText w:val=""/>
      <w:lvlJc w:val="left"/>
      <w:pPr>
        <w:ind w:left="1850" w:hanging="360"/>
      </w:pPr>
      <w:rPr>
        <w:rFonts w:hint="default" w:ascii="Wingdings" w:hAnsi="Wingdings"/>
      </w:rPr>
    </w:lvl>
    <w:lvl w:ilvl="3" w:tplc="04090001" w:tentative="1">
      <w:start w:val="1"/>
      <w:numFmt w:val="bullet"/>
      <w:lvlText w:val=""/>
      <w:lvlJc w:val="left"/>
      <w:pPr>
        <w:ind w:left="2570" w:hanging="360"/>
      </w:pPr>
      <w:rPr>
        <w:rFonts w:hint="default" w:ascii="Symbol" w:hAnsi="Symbol"/>
      </w:rPr>
    </w:lvl>
    <w:lvl w:ilvl="4" w:tplc="04090003" w:tentative="1">
      <w:start w:val="1"/>
      <w:numFmt w:val="bullet"/>
      <w:lvlText w:val="o"/>
      <w:lvlJc w:val="left"/>
      <w:pPr>
        <w:ind w:left="3290" w:hanging="360"/>
      </w:pPr>
      <w:rPr>
        <w:rFonts w:hint="default" w:ascii="Courier New" w:hAnsi="Courier New" w:cs="Courier New"/>
      </w:rPr>
    </w:lvl>
    <w:lvl w:ilvl="5" w:tplc="04090005" w:tentative="1">
      <w:start w:val="1"/>
      <w:numFmt w:val="bullet"/>
      <w:lvlText w:val=""/>
      <w:lvlJc w:val="left"/>
      <w:pPr>
        <w:ind w:left="4010" w:hanging="360"/>
      </w:pPr>
      <w:rPr>
        <w:rFonts w:hint="default" w:ascii="Wingdings" w:hAnsi="Wingdings"/>
      </w:rPr>
    </w:lvl>
    <w:lvl w:ilvl="6" w:tplc="04090001" w:tentative="1">
      <w:start w:val="1"/>
      <w:numFmt w:val="bullet"/>
      <w:lvlText w:val=""/>
      <w:lvlJc w:val="left"/>
      <w:pPr>
        <w:ind w:left="4730" w:hanging="360"/>
      </w:pPr>
      <w:rPr>
        <w:rFonts w:hint="default" w:ascii="Symbol" w:hAnsi="Symbol"/>
      </w:rPr>
    </w:lvl>
    <w:lvl w:ilvl="7" w:tplc="04090003" w:tentative="1">
      <w:start w:val="1"/>
      <w:numFmt w:val="bullet"/>
      <w:lvlText w:val="o"/>
      <w:lvlJc w:val="left"/>
      <w:pPr>
        <w:ind w:left="5450" w:hanging="360"/>
      </w:pPr>
      <w:rPr>
        <w:rFonts w:hint="default" w:ascii="Courier New" w:hAnsi="Courier New" w:cs="Courier New"/>
      </w:rPr>
    </w:lvl>
    <w:lvl w:ilvl="8" w:tplc="04090005" w:tentative="1">
      <w:start w:val="1"/>
      <w:numFmt w:val="bullet"/>
      <w:lvlText w:val=""/>
      <w:lvlJc w:val="left"/>
      <w:pPr>
        <w:ind w:left="6170" w:hanging="360"/>
      </w:pPr>
      <w:rPr>
        <w:rFonts w:hint="default" w:ascii="Wingdings" w:hAnsi="Wingdings"/>
      </w:rPr>
    </w:lvl>
  </w:abstractNum>
  <w:abstractNum w:abstractNumId="4" w15:restartNumberingAfterBreak="0">
    <w:nsid w:val="586A1FC3"/>
    <w:multiLevelType w:val="multilevel"/>
    <w:tmpl w:val="1124EE02"/>
    <w:numStyleLink w:val="1aiA"/>
  </w:abstractNum>
  <w:abstractNum w:abstractNumId="5" w15:restartNumberingAfterBreak="0">
    <w:nsid w:val="6A187578"/>
    <w:multiLevelType w:val="hybridMultilevel"/>
    <w:tmpl w:val="4BF2E3EC"/>
    <w:lvl w:ilvl="0" w:tplc="727A4570">
      <w:numFmt w:val="bullet"/>
      <w:lvlText w:val="-"/>
      <w:lvlJc w:val="left"/>
      <w:pPr>
        <w:ind w:left="720" w:hanging="360"/>
      </w:pPr>
      <w:rPr>
        <w:rFonts w:hint="default" w:ascii="Arial" w:hAnsi="Arial" w:cs="Arial"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6" w15:restartNumberingAfterBreak="0">
    <w:nsid w:val="72880D1C"/>
    <w:multiLevelType w:val="hybridMultilevel"/>
    <w:tmpl w:val="F14EC786"/>
    <w:lvl w:ilvl="0" w:tplc="939A22CA">
      <w:numFmt w:val="bullet"/>
      <w:lvlText w:val="-"/>
      <w:lvlJc w:val="left"/>
      <w:pPr>
        <w:ind w:left="720" w:hanging="360"/>
      </w:pPr>
      <w:rPr>
        <w:rFonts w:hint="default" w:ascii="Arial" w:hAnsi="Arial" w:cs="Arial"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8">
    <w:multiLevelType w:val="singleLevel"/>
    <w:lvl w:ilvl="0">
      <w:start w:val="1"/>
      <w:numFmt w:val="decimal"/>
      <w:lvlText w:val="%1."/>
      <w:pPr>
        <w:ind w:left="420" w:hanging="360"/>
      </w:pPr>
    </w:lvl>
  </w:abstractNum>
  <w:abstractNum w:abstractNumId="9">
    <w:multiLevelType w:val="singleLevel"/>
    <w:lvl w:ilvl="0">
      <w:numFmt w:val="bullet"/>
      <w:lvlText w:val="•"/>
      <w:pPr>
        <w:ind w:left="420" w:hanging="360"/>
      </w:pPr>
    </w:lvl>
  </w:abstractNum>
  <w:abstractNum w:abstractNumId="10">
    <w:multiLevelType w:val="singleLevel"/>
    <w:lvl w:ilvl="0">
      <w:numFmt w:val="bullet"/>
      <w:lvlText w:val="▪"/>
      <w:pPr>
        <w:ind w:left="420" w:hanging="360"/>
      </w:pPr>
    </w:lvl>
  </w:abstractNum>
  <w:abstractNum w:abstractNumId="11">
    <w:multiLevelType w:val="singleLevel"/>
    <w:lvl w:ilvl="0">
      <w:numFmt w:val="bullet"/>
      <w:lvlText w:val="o"/>
      <w:pPr>
        <w:ind w:left="420" w:hanging="360"/>
      </w:pPr>
    </w:lvl>
  </w:abstractNum>
  <w:abstractNum w:abstractNumId="12">
    <w:multiLevelType w:val="singleLevel"/>
    <w:lvl w:ilvl="0">
      <w:start w:val="1"/>
      <w:numFmt w:val="upperLetter"/>
      <w:lvlText w:val="%1."/>
      <w:pPr>
        <w:ind w:left="420" w:hanging="360"/>
      </w:pPr>
    </w:lvl>
  </w:abstractNum>
  <w:abstractNum w:abstractNumId="13">
    <w:multiLevelType w:val="singleLevel"/>
    <w:lvl w:ilvl="0">
      <w:start w:val="1"/>
      <w:numFmt w:val="lowerLetter"/>
      <w:lvlText w:val="%1."/>
      <w:pPr>
        <w:ind w:left="420" w:hanging="360"/>
      </w:pPr>
    </w:lvl>
  </w:abstractNum>
  <w:abstractNum w:abstractNumId="14">
    <w:multiLevelType w:val="singleLevel"/>
    <w:lvl w:ilvl="0">
      <w:start w:val="1"/>
      <w:numFmt w:val="upperRoman"/>
      <w:lvlText w:val="%1."/>
      <w:pPr>
        <w:ind w:left="420" w:hanging="360"/>
      </w:pPr>
    </w:lvl>
  </w:abstractNum>
  <w:abstractNum w:abstractNumId="15">
    <w:multiLevelType w:val="singleLevel"/>
    <w:lvl w:ilvl="0">
      <w:start w:val="1"/>
      <w:numFmt w:val="lowerRoman"/>
      <w:lvlText w:val="%1."/>
      <w:pPr>
        <w:ind w:left="420" w:hanging="360"/>
      </w:pPr>
    </w:lvl>
  </w:abstractNum>
  <w:abstractNum w:abstractNumId="7" w15:restartNumberingAfterBreak="0">
    <w:nsid w:val="74437C54"/>
    <w:multiLevelType w:val="hybridMultilevel"/>
    <w:tmpl w:val="51ACB4C8"/>
    <w:lvl w:ilvl="0" w:tplc="CEB45F4C">
      <w:numFmt w:val="bullet"/>
      <w:lvlText w:val="-"/>
      <w:lvlJc w:val="left"/>
      <w:pPr>
        <w:ind w:left="1512" w:hanging="360"/>
      </w:pPr>
      <w:rPr>
        <w:rFonts w:hint="default" w:ascii="Arial" w:hAnsi="Arial" w:cs="Arial" w:eastAsiaTheme="minorHAnsi"/>
      </w:rPr>
    </w:lvl>
    <w:lvl w:ilvl="1" w:tplc="04090003" w:tentative="1">
      <w:start w:val="1"/>
      <w:numFmt w:val="bullet"/>
      <w:lvlText w:val="o"/>
      <w:lvlJc w:val="left"/>
      <w:pPr>
        <w:ind w:left="2232" w:hanging="360"/>
      </w:pPr>
      <w:rPr>
        <w:rFonts w:hint="default" w:ascii="Courier New" w:hAnsi="Courier New" w:cs="Courier New"/>
      </w:rPr>
    </w:lvl>
    <w:lvl w:ilvl="2" w:tplc="04090005" w:tentative="1">
      <w:start w:val="1"/>
      <w:numFmt w:val="bullet"/>
      <w:lvlText w:val=""/>
      <w:lvlJc w:val="left"/>
      <w:pPr>
        <w:ind w:left="2952" w:hanging="360"/>
      </w:pPr>
      <w:rPr>
        <w:rFonts w:hint="default" w:ascii="Wingdings" w:hAnsi="Wingdings"/>
      </w:rPr>
    </w:lvl>
    <w:lvl w:ilvl="3" w:tplc="04090001" w:tentative="1">
      <w:start w:val="1"/>
      <w:numFmt w:val="bullet"/>
      <w:lvlText w:val=""/>
      <w:lvlJc w:val="left"/>
      <w:pPr>
        <w:ind w:left="3672" w:hanging="360"/>
      </w:pPr>
      <w:rPr>
        <w:rFonts w:hint="default" w:ascii="Symbol" w:hAnsi="Symbol"/>
      </w:rPr>
    </w:lvl>
    <w:lvl w:ilvl="4" w:tplc="04090003" w:tentative="1">
      <w:start w:val="1"/>
      <w:numFmt w:val="bullet"/>
      <w:lvlText w:val="o"/>
      <w:lvlJc w:val="left"/>
      <w:pPr>
        <w:ind w:left="4392" w:hanging="360"/>
      </w:pPr>
      <w:rPr>
        <w:rFonts w:hint="default" w:ascii="Courier New" w:hAnsi="Courier New" w:cs="Courier New"/>
      </w:rPr>
    </w:lvl>
    <w:lvl w:ilvl="5" w:tplc="04090005" w:tentative="1">
      <w:start w:val="1"/>
      <w:numFmt w:val="bullet"/>
      <w:lvlText w:val=""/>
      <w:lvlJc w:val="left"/>
      <w:pPr>
        <w:ind w:left="5112" w:hanging="360"/>
      </w:pPr>
      <w:rPr>
        <w:rFonts w:hint="default" w:ascii="Wingdings" w:hAnsi="Wingdings"/>
      </w:rPr>
    </w:lvl>
    <w:lvl w:ilvl="6" w:tplc="04090001" w:tentative="1">
      <w:start w:val="1"/>
      <w:numFmt w:val="bullet"/>
      <w:lvlText w:val=""/>
      <w:lvlJc w:val="left"/>
      <w:pPr>
        <w:ind w:left="5832" w:hanging="360"/>
      </w:pPr>
      <w:rPr>
        <w:rFonts w:hint="default" w:ascii="Symbol" w:hAnsi="Symbol"/>
      </w:rPr>
    </w:lvl>
    <w:lvl w:ilvl="7" w:tplc="04090003" w:tentative="1">
      <w:start w:val="1"/>
      <w:numFmt w:val="bullet"/>
      <w:lvlText w:val="o"/>
      <w:lvlJc w:val="left"/>
      <w:pPr>
        <w:ind w:left="6552" w:hanging="360"/>
      </w:pPr>
      <w:rPr>
        <w:rFonts w:hint="default" w:ascii="Courier New" w:hAnsi="Courier New" w:cs="Courier New"/>
      </w:rPr>
    </w:lvl>
    <w:lvl w:ilvl="8" w:tplc="04090005" w:tentative="1">
      <w:start w:val="1"/>
      <w:numFmt w:val="bullet"/>
      <w:lvlText w:val=""/>
      <w:lvlJc w:val="left"/>
      <w:pPr>
        <w:ind w:left="7272" w:hanging="360"/>
      </w:pPr>
      <w:rPr>
        <w:rFonts w:hint="default" w:ascii="Wingdings" w:hAnsi="Wingdings"/>
      </w:rPr>
    </w:lvl>
  </w:abstractNum>
  <w:num w:numId="1">
    <w:abstractNumId w:val="5"/>
  </w:num>
  <w:num w:numId="2">
    <w:abstractNumId w:val="6"/>
  </w:num>
  <w:num w:numId="3">
    <w:abstractNumId w:val="0"/>
  </w:num>
  <w:num w:numId="4">
    <w:abstractNumId w:val="1"/>
  </w:num>
  <w:num w:numId="5">
    <w:abstractNumId w:val="7"/>
  </w:num>
  <w:num w:numId="6">
    <w:abstractNumId w:val="3"/>
  </w:num>
  <w:num w:numId="7">
    <w:abstractNumId w:val="2"/>
  </w:num>
  <w:num w:numId="8">
    <w:abstractNumId w:val="4"/>
  </w:num>
  <w:num w:numId="9">
    <w:abstractNumId w:val="9"/>
    <w:lvlOverride w:ilvl="0">
      <w:startOverride w:val="1"/>
    </w:lvlOverride>
  </w:num>
  <w:num w:numId="10">
    <w:abstractNumId w:val="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7873"/>
    <w:rsid w:val="0000461D"/>
    <w:rsid w:val="00035AF7"/>
    <w:rsid w:val="00051AB4"/>
    <w:rsid w:val="000634B9"/>
    <w:rsid w:val="00077F75"/>
    <w:rsid w:val="000847CF"/>
    <w:rsid w:val="00093245"/>
    <w:rsid w:val="00111847"/>
    <w:rsid w:val="0013686E"/>
    <w:rsid w:val="001620A7"/>
    <w:rsid w:val="00163294"/>
    <w:rsid w:val="001802A0"/>
    <w:rsid w:val="00197456"/>
    <w:rsid w:val="00197B2F"/>
    <w:rsid w:val="001D68FE"/>
    <w:rsid w:val="002129FB"/>
    <w:rsid w:val="002263CD"/>
    <w:rsid w:val="00237F85"/>
    <w:rsid w:val="0026481B"/>
    <w:rsid w:val="002A08A4"/>
    <w:rsid w:val="002A465B"/>
    <w:rsid w:val="002A61B4"/>
    <w:rsid w:val="002C4763"/>
    <w:rsid w:val="002D177D"/>
    <w:rsid w:val="003077B1"/>
    <w:rsid w:val="00325C08"/>
    <w:rsid w:val="003749B6"/>
    <w:rsid w:val="003A3B65"/>
    <w:rsid w:val="003C7724"/>
    <w:rsid w:val="003F41D1"/>
    <w:rsid w:val="0040598F"/>
    <w:rsid w:val="00421ABE"/>
    <w:rsid w:val="00422274"/>
    <w:rsid w:val="00436762"/>
    <w:rsid w:val="00471952"/>
    <w:rsid w:val="00480329"/>
    <w:rsid w:val="00485DE4"/>
    <w:rsid w:val="004865F9"/>
    <w:rsid w:val="00487A90"/>
    <w:rsid w:val="00490F49"/>
    <w:rsid w:val="004A2283"/>
    <w:rsid w:val="004C40D5"/>
    <w:rsid w:val="004E2B13"/>
    <w:rsid w:val="004E66D4"/>
    <w:rsid w:val="004F720E"/>
    <w:rsid w:val="00507F6E"/>
    <w:rsid w:val="00530D9D"/>
    <w:rsid w:val="00534104"/>
    <w:rsid w:val="00536331"/>
    <w:rsid w:val="00537959"/>
    <w:rsid w:val="005633FE"/>
    <w:rsid w:val="005A12EF"/>
    <w:rsid w:val="005A567C"/>
    <w:rsid w:val="005C3286"/>
    <w:rsid w:val="005F1098"/>
    <w:rsid w:val="00626D89"/>
    <w:rsid w:val="0066374E"/>
    <w:rsid w:val="00682D60"/>
    <w:rsid w:val="006906AD"/>
    <w:rsid w:val="006C4214"/>
    <w:rsid w:val="006E4DBD"/>
    <w:rsid w:val="006F4E12"/>
    <w:rsid w:val="00704DE8"/>
    <w:rsid w:val="00704FB4"/>
    <w:rsid w:val="007137C3"/>
    <w:rsid w:val="007336B4"/>
    <w:rsid w:val="007336B6"/>
    <w:rsid w:val="00743378"/>
    <w:rsid w:val="00752F90"/>
    <w:rsid w:val="007541FC"/>
    <w:rsid w:val="00761F2A"/>
    <w:rsid w:val="0078230C"/>
    <w:rsid w:val="00783B41"/>
    <w:rsid w:val="007850F8"/>
    <w:rsid w:val="007B5478"/>
    <w:rsid w:val="007B5830"/>
    <w:rsid w:val="007F060E"/>
    <w:rsid w:val="007F2CCC"/>
    <w:rsid w:val="007F4D68"/>
    <w:rsid w:val="008020A8"/>
    <w:rsid w:val="008407E2"/>
    <w:rsid w:val="0084373B"/>
    <w:rsid w:val="00877F60"/>
    <w:rsid w:val="00885799"/>
    <w:rsid w:val="00896739"/>
    <w:rsid w:val="008B4BE2"/>
    <w:rsid w:val="008D564B"/>
    <w:rsid w:val="008E0D40"/>
    <w:rsid w:val="00917153"/>
    <w:rsid w:val="00994FC4"/>
    <w:rsid w:val="009A156E"/>
    <w:rsid w:val="009B3264"/>
    <w:rsid w:val="009B5183"/>
    <w:rsid w:val="009D1541"/>
    <w:rsid w:val="009E1C51"/>
    <w:rsid w:val="009E2793"/>
    <w:rsid w:val="00A14B44"/>
    <w:rsid w:val="00A17914"/>
    <w:rsid w:val="00A23D79"/>
    <w:rsid w:val="00A30BAA"/>
    <w:rsid w:val="00A3173A"/>
    <w:rsid w:val="00A61E56"/>
    <w:rsid w:val="00A768A2"/>
    <w:rsid w:val="00A81A16"/>
    <w:rsid w:val="00A8520E"/>
    <w:rsid w:val="00A966E5"/>
    <w:rsid w:val="00AC1559"/>
    <w:rsid w:val="00AE3548"/>
    <w:rsid w:val="00B22D3D"/>
    <w:rsid w:val="00BC7873"/>
    <w:rsid w:val="00BD03CF"/>
    <w:rsid w:val="00C303AC"/>
    <w:rsid w:val="00C40D8B"/>
    <w:rsid w:val="00C51232"/>
    <w:rsid w:val="00C520B8"/>
    <w:rsid w:val="00C65A85"/>
    <w:rsid w:val="00CA02A4"/>
    <w:rsid w:val="00CB188F"/>
    <w:rsid w:val="00CB44F3"/>
    <w:rsid w:val="00CD1FAF"/>
    <w:rsid w:val="00CF1C7D"/>
    <w:rsid w:val="00D354EF"/>
    <w:rsid w:val="00D41754"/>
    <w:rsid w:val="00D7761C"/>
    <w:rsid w:val="00D85736"/>
    <w:rsid w:val="00D904AA"/>
    <w:rsid w:val="00D9752D"/>
    <w:rsid w:val="00DB71E7"/>
    <w:rsid w:val="00DC1C34"/>
    <w:rsid w:val="00DC68EE"/>
    <w:rsid w:val="00DD4C73"/>
    <w:rsid w:val="00E57C25"/>
    <w:rsid w:val="00E8516D"/>
    <w:rsid w:val="00E925A7"/>
    <w:rsid w:val="00EA76A7"/>
    <w:rsid w:val="00EB4E6C"/>
    <w:rsid w:val="00F33E8A"/>
    <w:rsid w:val="00F54A18"/>
    <w:rsid w:val="00FC6796"/>
    <w:rsid w:val="00FD39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D1F7020"/>
  <w15:chartTrackingRefBased/>
  <w15:docId w15:val="{11264F3B-CA44-0D43-9F09-917800D121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semiHidden="1"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semiHidden="1" w:unhideWhenUsed="1" w:qFormat="1"/>
    <w:lsdException w:name="Intense Quote" w:uiPriority="30" w:semiHidden="1"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semiHidden="1" w:unhideWhenUsed="1" w:qFormat="1"/>
    <w:lsdException w:name="Intense Emphasis" w:uiPriority="21" w:semiHidden="1" w:unhideWhenUsed="1" w:qFormat="1"/>
    <w:lsdException w:name="Subtle Reference" w:uiPriority="31" w:semiHidden="1" w:unhideWhenUsed="1" w:qFormat="1"/>
    <w:lsdException w:name="Intense Reference" w:uiPriority="32" w:semiHidden="1" w:unhideWhenUsed="1" w:qFormat="1"/>
    <w:lsdException w:name="Book Title" w:uiPriority="33" w:semiHidden="1" w:unhideWhenUsed="1"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unhideWhenUsed/>
    <w:qFormat/>
    <w:rsid w:val="009E1C51"/>
    <w:pPr>
      <w:spacing w:after="240" w:line="276" w:lineRule="auto"/>
    </w:pPr>
    <w:rPr>
      <w:rFonts w:ascii="Arial" w:hAnsi="Arial"/>
      <w:sz w:val="20"/>
    </w:rPr>
  </w:style>
  <w:style w:type="paragraph" w:styleId="Heading1">
    <w:name w:val="heading 1"/>
    <w:basedOn w:val="Normal"/>
    <w:next w:val="Normal"/>
    <w:link w:val="Heading1Char"/>
    <w:uiPriority w:val="9"/>
    <w:unhideWhenUsed/>
    <w:qFormat/>
    <w:rsid w:val="00197456"/>
    <w:pPr>
      <w:keepNext/>
      <w:keepLines/>
      <w:spacing w:before="240" w:line="240" w:lineRule="auto"/>
      <w:outlineLvl w:val="0"/>
    </w:pPr>
    <w:rPr>
      <w:rFonts w:cs="Arial" w:eastAsiaTheme="majorEastAsia"/>
      <w:b/>
      <w:color w:val="AE132A"/>
      <w:sz w:val="32"/>
      <w:szCs w:val="32"/>
    </w:rPr>
  </w:style>
  <w:style w:type="paragraph" w:styleId="Heading2">
    <w:name w:val="heading 2"/>
    <w:basedOn w:val="Normal"/>
    <w:next w:val="Normal"/>
    <w:link w:val="Heading2Char"/>
    <w:uiPriority w:val="9"/>
    <w:unhideWhenUsed/>
    <w:qFormat/>
    <w:rsid w:val="00197456"/>
    <w:pPr>
      <w:keepNext/>
      <w:keepLines/>
      <w:spacing w:before="240" w:after="320" w:line="240" w:lineRule="auto"/>
      <w:outlineLvl w:val="1"/>
    </w:pPr>
    <w:rPr>
      <w:rFonts w:cs="Arial" w:eastAsiaTheme="majorEastAsia"/>
      <w:color w:val="000000" w:themeColor="text1"/>
      <w:sz w:val="32"/>
      <w:szCs w:val="32"/>
    </w:rPr>
  </w:style>
  <w:style w:type="paragraph" w:styleId="Heading3">
    <w:name w:val="heading 3"/>
    <w:basedOn w:val="Heading2"/>
    <w:next w:val="Normal"/>
    <w:link w:val="Heading3Char"/>
    <w:uiPriority w:val="9"/>
    <w:unhideWhenUsed/>
    <w:qFormat/>
    <w:rsid w:val="00197456"/>
    <w:pPr>
      <w:outlineLvl w:val="2"/>
    </w:pPr>
    <w:rPr>
      <w:sz w:val="24"/>
      <w:szCs w:val="24"/>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PlaceholderText">
    <w:name w:val="Placeholder Text"/>
    <w:basedOn w:val="DefaultParagraphFont"/>
    <w:uiPriority w:val="99"/>
    <w:unhideWhenUsed/>
    <w:rsid w:val="00EB4E6C"/>
    <w:rPr>
      <w:color w:val="808080"/>
    </w:rPr>
  </w:style>
  <w:style w:type="paragraph" w:styleId="IndentedCopy" w:customStyle="1">
    <w:name w:val="Indented Copy"/>
    <w:qFormat/>
    <w:rsid w:val="009B5183"/>
    <w:pPr>
      <w:spacing w:before="140" w:after="140" w:line="360" w:lineRule="auto"/>
      <w:ind w:left="1008"/>
    </w:pPr>
    <w:rPr>
      <w:rFonts w:ascii="Arial" w:hAnsi="Arial" w:cs="Arial"/>
      <w:sz w:val="20"/>
      <w:szCs w:val="20"/>
    </w:rPr>
  </w:style>
  <w:style w:type="paragraph" w:styleId="Header">
    <w:name w:val="header"/>
    <w:basedOn w:val="Normal"/>
    <w:link w:val="HeaderChar"/>
    <w:uiPriority w:val="99"/>
    <w:unhideWhenUsed/>
    <w:rsid w:val="008407E2"/>
    <w:pPr>
      <w:tabs>
        <w:tab w:val="center" w:pos="4680"/>
        <w:tab w:val="right" w:pos="9360"/>
      </w:tabs>
      <w:spacing w:after="0" w:line="240" w:lineRule="auto"/>
    </w:pPr>
  </w:style>
  <w:style w:type="character" w:styleId="HeaderChar" w:customStyle="1">
    <w:name w:val="Header Char"/>
    <w:basedOn w:val="DefaultParagraphFont"/>
    <w:link w:val="Header"/>
    <w:uiPriority w:val="99"/>
    <w:rsid w:val="009E1C51"/>
    <w:rPr>
      <w:rFonts w:ascii="Arial" w:hAnsi="Arial"/>
      <w:sz w:val="20"/>
    </w:rPr>
  </w:style>
  <w:style w:type="paragraph" w:styleId="Footer">
    <w:name w:val="footer"/>
    <w:basedOn w:val="Normal"/>
    <w:link w:val="FooterChar"/>
    <w:uiPriority w:val="99"/>
    <w:unhideWhenUsed/>
    <w:rsid w:val="008407E2"/>
    <w:pPr>
      <w:tabs>
        <w:tab w:val="center" w:pos="4680"/>
        <w:tab w:val="right" w:pos="9360"/>
      </w:tabs>
      <w:spacing w:after="0" w:line="240" w:lineRule="auto"/>
    </w:pPr>
  </w:style>
  <w:style w:type="character" w:styleId="FooterChar" w:customStyle="1">
    <w:name w:val="Footer Char"/>
    <w:basedOn w:val="DefaultParagraphFont"/>
    <w:link w:val="Footer"/>
    <w:uiPriority w:val="99"/>
    <w:rsid w:val="009E1C51"/>
    <w:rPr>
      <w:rFonts w:ascii="Arial" w:hAnsi="Arial"/>
      <w:sz w:val="20"/>
    </w:rPr>
  </w:style>
  <w:style w:type="paragraph" w:styleId="Region" w:customStyle="1">
    <w:name w:val="Region"/>
    <w:next w:val="IndentedCopy"/>
    <w:qFormat/>
    <w:rsid w:val="00994FC4"/>
    <w:pPr>
      <w:spacing w:before="360" w:after="0"/>
      <w:ind w:left="1008"/>
    </w:pPr>
    <w:rPr>
      <w:rFonts w:ascii="Arial" w:hAnsi="Arial" w:cs="Arial"/>
      <w:b/>
      <w:color w:val="AD122A"/>
      <w:sz w:val="28"/>
      <w:szCs w:val="28"/>
    </w:rPr>
  </w:style>
  <w:style w:type="table" w:styleId="TableGrid">
    <w:name w:val="Table Grid"/>
    <w:basedOn w:val="TableNormal"/>
    <w:uiPriority w:val="39"/>
    <w:rsid w:val="006C4214"/>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NoSpacing">
    <w:name w:val="No Spacing"/>
    <w:uiPriority w:val="1"/>
    <w:unhideWhenUsed/>
    <w:qFormat/>
    <w:rsid w:val="006C4214"/>
    <w:pPr>
      <w:spacing w:after="0" w:line="240" w:lineRule="auto"/>
    </w:pPr>
  </w:style>
  <w:style w:type="paragraph" w:styleId="Table" w:customStyle="1">
    <w:name w:val="Table"/>
    <w:qFormat/>
    <w:rsid w:val="0066374E"/>
    <w:rPr>
      <w:rFonts w:ascii="Arial" w:hAnsi="Arial" w:cs="Arial"/>
      <w:sz w:val="20"/>
      <w:szCs w:val="20"/>
    </w:rPr>
  </w:style>
  <w:style w:type="paragraph" w:styleId="ListParagraph">
    <w:name w:val="List Paragraph"/>
    <w:basedOn w:val="Normal"/>
    <w:uiPriority w:val="34"/>
    <w:unhideWhenUsed/>
    <w:qFormat/>
    <w:rsid w:val="007137C3"/>
    <w:pPr>
      <w:spacing w:line="360" w:lineRule="auto"/>
      <w:ind w:left="720"/>
      <w:contextualSpacing/>
    </w:pPr>
  </w:style>
  <w:style w:type="paragraph" w:styleId="Body" w:customStyle="1">
    <w:name w:val="Body"/>
    <w:qFormat/>
    <w:rsid w:val="00A14B44"/>
    <w:pPr>
      <w:spacing w:before="60" w:after="0"/>
    </w:pPr>
    <w:rPr>
      <w:rFonts w:ascii="Arial" w:hAnsi="Arial" w:cs="Arial"/>
      <w:sz w:val="20"/>
      <w:szCs w:val="20"/>
    </w:rPr>
  </w:style>
  <w:style w:type="paragraph" w:styleId="CoverDate" w:customStyle="1">
    <w:name w:val="CoverDate"/>
    <w:qFormat/>
    <w:rsid w:val="00A14B44"/>
    <w:pPr>
      <w:spacing w:before="240" w:after="0"/>
    </w:pPr>
    <w:rPr>
      <w:rFonts w:ascii="Arial" w:hAnsi="Arial" w:cs="Arial"/>
      <w:sz w:val="24"/>
      <w:szCs w:val="24"/>
    </w:rPr>
  </w:style>
  <w:style w:type="paragraph" w:styleId="Footertext" w:customStyle="1">
    <w:name w:val="Footer text"/>
    <w:basedOn w:val="Normal"/>
    <w:qFormat/>
    <w:rsid w:val="00DC68EE"/>
    <w:pPr>
      <w:tabs>
        <w:tab w:val="center" w:pos="4680"/>
        <w:tab w:val="right" w:pos="9360"/>
      </w:tabs>
      <w:spacing w:after="0" w:line="240" w:lineRule="auto"/>
    </w:pPr>
    <w:rPr>
      <w:rFonts w:cs="Arial"/>
      <w:bCs/>
      <w:color w:val="AE132A"/>
      <w:sz w:val="16"/>
      <w:szCs w:val="16"/>
    </w:rPr>
  </w:style>
  <w:style w:type="paragraph" w:styleId="TOCHeading">
    <w:name w:val="TOC Heading"/>
    <w:next w:val="Normal"/>
    <w:uiPriority w:val="39"/>
    <w:unhideWhenUsed/>
    <w:qFormat/>
    <w:rsid w:val="00197456"/>
    <w:rPr>
      <w:rFonts w:ascii="Arial" w:hAnsi="Arial" w:eastAsiaTheme="majorEastAsia" w:cstheme="majorBidi"/>
      <w:b/>
      <w:color w:val="AE132A"/>
      <w:sz w:val="32"/>
      <w:szCs w:val="32"/>
    </w:rPr>
  </w:style>
  <w:style w:type="character" w:styleId="Heading1Char" w:customStyle="1">
    <w:name w:val="Heading 1 Char"/>
    <w:basedOn w:val="DefaultParagraphFont"/>
    <w:link w:val="Heading1"/>
    <w:uiPriority w:val="9"/>
    <w:rsid w:val="009E1C51"/>
    <w:rPr>
      <w:rFonts w:ascii="Arial" w:hAnsi="Arial" w:cs="Arial" w:eastAsiaTheme="majorEastAsia"/>
      <w:b/>
      <w:color w:val="AE132A"/>
      <w:sz w:val="32"/>
      <w:szCs w:val="32"/>
    </w:rPr>
  </w:style>
  <w:style w:type="paragraph" w:styleId="TOC1">
    <w:name w:val="toc 1"/>
    <w:basedOn w:val="Normal"/>
    <w:next w:val="Normal"/>
    <w:autoRedefine/>
    <w:uiPriority w:val="39"/>
    <w:unhideWhenUsed/>
    <w:rsid w:val="00197456"/>
    <w:pPr>
      <w:spacing w:after="100"/>
    </w:pPr>
    <w:rPr>
      <w:sz w:val="16"/>
    </w:rPr>
  </w:style>
  <w:style w:type="character" w:styleId="Hyperlink">
    <w:name w:val="Hyperlink"/>
    <w:basedOn w:val="DefaultParagraphFont"/>
    <w:uiPriority w:val="99"/>
    <w:unhideWhenUsed/>
    <w:rsid w:val="008020A8"/>
    <w:rPr>
      <w:color w:val="EE3135" w:themeColor="hyperlink"/>
      <w:u w:val="single"/>
    </w:rPr>
  </w:style>
  <w:style w:type="paragraph" w:styleId="Content" w:customStyle="1">
    <w:name w:val="Content"/>
    <w:link w:val="ContentChar"/>
    <w:qFormat/>
    <w:rsid w:val="003A3B65"/>
    <w:pPr>
      <w:tabs>
        <w:tab w:val="right" w:pos="9350"/>
      </w:tabs>
    </w:pPr>
    <w:rPr>
      <w:rFonts w:ascii="Arial" w:hAnsi="Arial"/>
      <w:sz w:val="20"/>
    </w:rPr>
  </w:style>
  <w:style w:type="character" w:styleId="ContentChar" w:customStyle="1">
    <w:name w:val="Content Char"/>
    <w:basedOn w:val="DefaultParagraphFont"/>
    <w:link w:val="Content"/>
    <w:rsid w:val="003A3B65"/>
    <w:rPr>
      <w:rFonts w:ascii="Arial" w:hAnsi="Arial"/>
      <w:sz w:val="20"/>
    </w:rPr>
  </w:style>
  <w:style w:type="character" w:styleId="Strong">
    <w:name w:val="Strong"/>
    <w:basedOn w:val="DefaultParagraphFont"/>
    <w:uiPriority w:val="22"/>
    <w:unhideWhenUsed/>
    <w:qFormat/>
    <w:rsid w:val="00051AB4"/>
    <w:rPr>
      <w:b/>
      <w:bCs/>
    </w:rPr>
  </w:style>
  <w:style w:type="paragraph" w:styleId="BodyText">
    <w:name w:val="Body Text"/>
    <w:basedOn w:val="Normal"/>
    <w:link w:val="BodyTextChar"/>
    <w:uiPriority w:val="99"/>
    <w:unhideWhenUsed/>
    <w:rsid w:val="00197456"/>
    <w:pPr>
      <w:spacing w:line="360" w:lineRule="auto"/>
    </w:pPr>
  </w:style>
  <w:style w:type="character" w:styleId="BodyTextChar" w:customStyle="1">
    <w:name w:val="Body Text Char"/>
    <w:basedOn w:val="DefaultParagraphFont"/>
    <w:link w:val="BodyText"/>
    <w:uiPriority w:val="99"/>
    <w:rsid w:val="009E1C51"/>
    <w:rPr>
      <w:rFonts w:ascii="Arial" w:hAnsi="Arial"/>
      <w:sz w:val="20"/>
    </w:rPr>
  </w:style>
  <w:style w:type="character" w:styleId="Heading2Char" w:customStyle="1">
    <w:name w:val="Heading 2 Char"/>
    <w:basedOn w:val="DefaultParagraphFont"/>
    <w:link w:val="Heading2"/>
    <w:uiPriority w:val="9"/>
    <w:rsid w:val="009E1C51"/>
    <w:rPr>
      <w:rFonts w:ascii="Arial" w:hAnsi="Arial" w:cs="Arial" w:eastAsiaTheme="majorEastAsia"/>
      <w:color w:val="000000" w:themeColor="text1"/>
      <w:sz w:val="32"/>
      <w:szCs w:val="32"/>
    </w:rPr>
  </w:style>
  <w:style w:type="character" w:styleId="Heading3Char" w:customStyle="1">
    <w:name w:val="Heading 3 Char"/>
    <w:basedOn w:val="DefaultParagraphFont"/>
    <w:link w:val="Heading3"/>
    <w:uiPriority w:val="9"/>
    <w:rsid w:val="009E1C51"/>
    <w:rPr>
      <w:rFonts w:ascii="Arial" w:hAnsi="Arial" w:cs="Arial" w:eastAsiaTheme="majorEastAsia"/>
      <w:color w:val="000000" w:themeColor="text1"/>
      <w:sz w:val="24"/>
      <w:szCs w:val="24"/>
    </w:rPr>
  </w:style>
  <w:style w:type="paragraph" w:styleId="Subtitle">
    <w:name w:val="Subtitle"/>
    <w:basedOn w:val="Normal"/>
    <w:next w:val="Normal"/>
    <w:link w:val="SubtitleChar"/>
    <w:uiPriority w:val="11"/>
    <w:unhideWhenUsed/>
    <w:qFormat/>
    <w:rsid w:val="00197456"/>
    <w:pPr>
      <w:numPr>
        <w:ilvl w:val="1"/>
      </w:numPr>
      <w:spacing w:before="2400" w:after="480"/>
    </w:pPr>
    <w:rPr>
      <w:rFonts w:eastAsiaTheme="minorEastAsia"/>
      <w:color w:val="000000" w:themeColor="text1"/>
      <w:sz w:val="44"/>
    </w:rPr>
  </w:style>
  <w:style w:type="character" w:styleId="SubtitleChar" w:customStyle="1">
    <w:name w:val="Subtitle Char"/>
    <w:basedOn w:val="DefaultParagraphFont"/>
    <w:link w:val="Subtitle"/>
    <w:uiPriority w:val="11"/>
    <w:rsid w:val="009E1C51"/>
    <w:rPr>
      <w:rFonts w:ascii="Arial" w:hAnsi="Arial" w:eastAsiaTheme="minorEastAsia"/>
      <w:color w:val="000000" w:themeColor="text1"/>
      <w:sz w:val="44"/>
    </w:rPr>
  </w:style>
  <w:style w:type="paragraph" w:styleId="Title">
    <w:name w:val="Title"/>
    <w:basedOn w:val="Normal"/>
    <w:next w:val="Normal"/>
    <w:link w:val="TitleChar"/>
    <w:autoRedefine/>
    <w:uiPriority w:val="10"/>
    <w:unhideWhenUsed/>
    <w:qFormat/>
    <w:rsid w:val="00197456"/>
    <w:pPr>
      <w:spacing w:before="840" w:after="0" w:line="240" w:lineRule="auto"/>
      <w:contextualSpacing/>
    </w:pPr>
    <w:rPr>
      <w:rFonts w:ascii="Arial Bold" w:hAnsi="Arial Bold" w:eastAsiaTheme="majorEastAsia" w:cstheme="majorBidi"/>
      <w:b/>
      <w:kern w:val="28"/>
      <w:sz w:val="44"/>
      <w:szCs w:val="56"/>
    </w:rPr>
  </w:style>
  <w:style w:type="character" w:styleId="TitleChar" w:customStyle="1">
    <w:name w:val="Title Char"/>
    <w:basedOn w:val="DefaultParagraphFont"/>
    <w:link w:val="Title"/>
    <w:uiPriority w:val="10"/>
    <w:rsid w:val="009E1C51"/>
    <w:rPr>
      <w:rFonts w:ascii="Arial Bold" w:hAnsi="Arial Bold" w:eastAsiaTheme="majorEastAsia" w:cstheme="majorBidi"/>
      <w:b/>
      <w:kern w:val="28"/>
      <w:sz w:val="44"/>
      <w:szCs w:val="56"/>
    </w:rPr>
  </w:style>
  <w:style w:type="paragraph" w:styleId="Disclaimer" w:customStyle="1">
    <w:name w:val="Disclaimer"/>
    <w:basedOn w:val="BodyText"/>
    <w:qFormat/>
    <w:rsid w:val="00DC68EE"/>
    <w:rPr>
      <w:sz w:val="16"/>
    </w:rPr>
  </w:style>
  <w:style w:type="paragraph" w:styleId="TOC2">
    <w:name w:val="toc 2"/>
    <w:basedOn w:val="Normal"/>
    <w:next w:val="Normal"/>
    <w:autoRedefine/>
    <w:uiPriority w:val="39"/>
    <w:semiHidden/>
    <w:unhideWhenUsed/>
    <w:rsid w:val="002263CD"/>
    <w:pPr>
      <w:spacing w:after="100"/>
      <w:ind w:left="200"/>
    </w:pPr>
    <w:rPr>
      <w:sz w:val="16"/>
    </w:rPr>
  </w:style>
  <w:style w:type="paragraph" w:styleId="TOC3">
    <w:name w:val="toc 3"/>
    <w:basedOn w:val="Normal"/>
    <w:next w:val="Normal"/>
    <w:autoRedefine/>
    <w:uiPriority w:val="39"/>
    <w:semiHidden/>
    <w:unhideWhenUsed/>
    <w:rsid w:val="002263CD"/>
    <w:pPr>
      <w:spacing w:after="100"/>
      <w:ind w:left="400"/>
    </w:pPr>
    <w:rPr>
      <w:sz w:val="16"/>
    </w:rPr>
  </w:style>
  <w:style w:type="paragraph" w:styleId="TOC4">
    <w:name w:val="toc 4"/>
    <w:basedOn w:val="Normal"/>
    <w:next w:val="Normal"/>
    <w:autoRedefine/>
    <w:uiPriority w:val="39"/>
    <w:semiHidden/>
    <w:unhideWhenUsed/>
    <w:rsid w:val="002263CD"/>
    <w:pPr>
      <w:spacing w:after="100"/>
      <w:ind w:left="600"/>
    </w:pPr>
    <w:rPr>
      <w:sz w:val="16"/>
    </w:rPr>
  </w:style>
  <w:style w:type="paragraph" w:styleId="TOC5">
    <w:name w:val="toc 5"/>
    <w:basedOn w:val="Normal"/>
    <w:next w:val="Normal"/>
    <w:autoRedefine/>
    <w:uiPriority w:val="39"/>
    <w:semiHidden/>
    <w:unhideWhenUsed/>
    <w:rsid w:val="002263CD"/>
    <w:pPr>
      <w:spacing w:after="100"/>
      <w:ind w:left="800"/>
    </w:pPr>
    <w:rPr>
      <w:sz w:val="16"/>
    </w:rPr>
  </w:style>
  <w:style w:type="paragraph" w:styleId="TOC6">
    <w:name w:val="toc 6"/>
    <w:basedOn w:val="Normal"/>
    <w:next w:val="Normal"/>
    <w:autoRedefine/>
    <w:uiPriority w:val="39"/>
    <w:semiHidden/>
    <w:unhideWhenUsed/>
    <w:rsid w:val="002263CD"/>
    <w:pPr>
      <w:spacing w:after="100"/>
      <w:ind w:left="1000"/>
    </w:pPr>
    <w:rPr>
      <w:sz w:val="16"/>
    </w:rPr>
  </w:style>
  <w:style w:type="numbering" w:styleId="1aiA" w:customStyle="1">
    <w:name w:val="1. / (a) / (i) / (A)"/>
    <w:uiPriority w:val="99"/>
    <w:rsid w:val="0026481B"/>
    <w:pPr>
      <w:numPr>
        <w:numId w:val="7"/>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370075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2" Type="http://schemas.openxmlformats.org/officeDocument/2006/relationships/image" Target="media/image3.sv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2" Type="http://schemas.openxmlformats.org/officeDocument/2006/relationships/image" Target="media/image3.svg"/><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518B4A5F-AA5F-476D-882A-0A7EA0CE4B65}"/>
      </w:docPartPr>
      <w:docPartBody>
        <w:p w:rsidR="002F7E8F" w:rsidRDefault="00221808">
          <w:r w:rsidRPr="0077679D">
            <w:rPr>
              <w:rStyle w:val="PlaceholderText"/>
            </w:rPr>
            <w:t>Click or tap here to enter text.</w:t>
          </w:r>
        </w:p>
      </w:docPartBody>
    </w:docPart>
    <w:docPart>
      <w:docPartPr>
        <w:name w:val="25284D22F9AB432599632FCA53B16370"/>
        <w:category>
          <w:name w:val="General"/>
          <w:gallery w:val="placeholder"/>
        </w:category>
        <w:types>
          <w:type w:val="bbPlcHdr"/>
        </w:types>
        <w:behaviors>
          <w:behavior w:val="content"/>
        </w:behaviors>
        <w:guid w:val="{C9E8BB5A-CA8C-46C5-A13B-51B4E2032566}"/>
      </w:docPartPr>
      <w:docPartBody>
        <w:p w:rsidR="00B605E7" w:rsidRDefault="00814859" w:rsidP="00814859">
          <w:pPr>
            <w:pStyle w:val="25284D22F9AB432599632FCA53B16370"/>
          </w:pPr>
          <w:r w:rsidRPr="0077679D">
            <w:rPr>
              <w:rStyle w:val="PlaceholderText"/>
            </w:rPr>
            <w:t>Click or tap here to enter text.</w:t>
          </w:r>
        </w:p>
      </w:docPartBody>
    </w:docPart>
    <w:docPart>
      <w:docPartPr>
        <w:name w:val="50B9E9BC9CD645C4AEC5AAC81F840459"/>
        <w:category>
          <w:name w:val="General"/>
          <w:gallery w:val="placeholder"/>
        </w:category>
        <w:types>
          <w:type w:val="bbPlcHdr"/>
        </w:types>
        <w:behaviors>
          <w:behavior w:val="content"/>
        </w:behaviors>
        <w:guid w:val="{E25FB514-17A5-4B7F-9171-E7A7D6318915}"/>
      </w:docPartPr>
      <w:docPartBody>
        <w:p w:rsidR="00B605E7" w:rsidRDefault="00814859" w:rsidP="00814859">
          <w:pPr>
            <w:pStyle w:val="50B9E9BC9CD645C4AEC5AAC81F840459"/>
          </w:pPr>
          <w:r w:rsidRPr="0077679D">
            <w:rPr>
              <w:rStyle w:val="PlaceholderText"/>
            </w:rPr>
            <w:t>Enter any content that you want to repeat, including other content controls. You can also insert this control around table rows in order to repeat parts of a table.</w:t>
          </w:r>
        </w:p>
      </w:docPartBody>
    </w:docPart>
    <w:docPart>
      <w:docPartPr>
        <w:name w:val="1C03CD633D944B628FBEF5988E419E30"/>
        <w:category>
          <w:name w:val="General"/>
          <w:gallery w:val="placeholder"/>
        </w:category>
        <w:types>
          <w:type w:val="bbPlcHdr"/>
        </w:types>
        <w:behaviors>
          <w:behavior w:val="content"/>
        </w:behaviors>
        <w:guid w:val="{113A3F01-19CE-40FA-B9D4-B72E29D942E4}"/>
      </w:docPartPr>
      <w:docPartBody>
        <w:p w:rsidR="00B605E7" w:rsidRDefault="00814859" w:rsidP="00814859">
          <w:pPr>
            <w:pStyle w:val="1C03CD633D944B628FBEF5988E419E30"/>
          </w:pPr>
          <w:r w:rsidRPr="0077679D">
            <w:rPr>
              <w:rStyle w:val="PlaceholderText"/>
            </w:rPr>
            <w:t>Click or tap here to enter text.</w:t>
          </w:r>
        </w:p>
      </w:docPartBody>
    </w:docPart>
    <w:docPart>
      <w:docPartPr>
        <w:name w:val="DefaultPlaceholder_-1854013435"/>
        <w:category>
          <w:name w:val="General"/>
          <w:gallery w:val="placeholder"/>
        </w:category>
        <w:types>
          <w:type w:val="bbPlcHdr"/>
        </w:types>
        <w:behaviors>
          <w:behavior w:val="content"/>
        </w:behaviors>
        <w:guid w:val="{3CA2887E-D17A-4793-B6B1-0BA906254BCB}"/>
      </w:docPartPr>
      <w:docPartBody>
        <w:p w:rsidR="00FC5EC2" w:rsidRDefault="00B605E7">
          <w:r w:rsidRPr="00EE3E5D">
            <w:rPr>
              <w:rStyle w:val="PlaceholderText"/>
            </w:rPr>
            <w:t>Enter any content that you want to repeat, including other content controls. You can also insert this control around table rows in order to repeat parts of a table.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Bold">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1808"/>
    <w:rsid w:val="00022BF5"/>
    <w:rsid w:val="00072A42"/>
    <w:rsid w:val="000E477C"/>
    <w:rsid w:val="001A3462"/>
    <w:rsid w:val="00221808"/>
    <w:rsid w:val="002D239D"/>
    <w:rsid w:val="002E325D"/>
    <w:rsid w:val="002E4CC1"/>
    <w:rsid w:val="002F7E8F"/>
    <w:rsid w:val="00333914"/>
    <w:rsid w:val="004766A3"/>
    <w:rsid w:val="00486E1C"/>
    <w:rsid w:val="00551CD6"/>
    <w:rsid w:val="005554C8"/>
    <w:rsid w:val="005B0649"/>
    <w:rsid w:val="006126CB"/>
    <w:rsid w:val="0065439E"/>
    <w:rsid w:val="00696F3A"/>
    <w:rsid w:val="006C58D2"/>
    <w:rsid w:val="00753C8E"/>
    <w:rsid w:val="00777B87"/>
    <w:rsid w:val="00814859"/>
    <w:rsid w:val="00856DBA"/>
    <w:rsid w:val="00B605E7"/>
    <w:rsid w:val="00C30D35"/>
    <w:rsid w:val="00EA7BEC"/>
    <w:rsid w:val="00ED7772"/>
    <w:rsid w:val="00FC5E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605E7"/>
    <w:rPr>
      <w:color w:val="808080"/>
    </w:rPr>
  </w:style>
  <w:style w:type="paragraph" w:customStyle="1" w:styleId="25284D22F9AB432599632FCA53B16370">
    <w:name w:val="25284D22F9AB432599632FCA53B16370"/>
    <w:rsid w:val="00814859"/>
  </w:style>
  <w:style w:type="paragraph" w:customStyle="1" w:styleId="50B9E9BC9CD645C4AEC5AAC81F840459">
    <w:name w:val="50B9E9BC9CD645C4AEC5AAC81F840459"/>
    <w:rsid w:val="00814859"/>
  </w:style>
  <w:style w:type="paragraph" w:customStyle="1" w:styleId="1C03CD633D944B628FBEF5988E419E30">
    <w:name w:val="1C03CD633D944B628FBEF5988E419E30"/>
    <w:rsid w:val="0081485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Baker McKenzie">
      <a:dk1>
        <a:srgbClr val="000000"/>
      </a:dk1>
      <a:lt1>
        <a:srgbClr val="FFFFFF"/>
      </a:lt1>
      <a:dk2>
        <a:srgbClr val="C2C3C4"/>
      </a:dk2>
      <a:lt2>
        <a:srgbClr val="5F5F5F"/>
      </a:lt2>
      <a:accent1>
        <a:srgbClr val="EE3135"/>
      </a:accent1>
      <a:accent2>
        <a:srgbClr val="AE132A"/>
      </a:accent2>
      <a:accent3>
        <a:srgbClr val="7A0223"/>
      </a:accent3>
      <a:accent4>
        <a:srgbClr val="002856"/>
      </a:accent4>
      <a:accent5>
        <a:srgbClr val="F58220"/>
      </a:accent5>
      <a:accent6>
        <a:srgbClr val="007B66"/>
      </a:accent6>
      <a:hlink>
        <a:srgbClr val="EE3135"/>
      </a:hlink>
      <a:folHlink>
        <a:srgbClr val="EE3135"/>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2020-01-17T00:00:00</PublishDate>
  <Abstract/>
  <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MigrationWizIdPermissionLevels xmlns="ddd3adf8-e9ce-43fc-b18f-f114bb3bf01b" xsi:nil="true"/>
    <MigrationWizId xmlns="ddd3adf8-e9ce-43fc-b18f-f114bb3bf01b" xsi:nil="true"/>
    <MigrationWizIdPermissions xmlns="ddd3adf8-e9ce-43fc-b18f-f114bb3bf01b" xsi:nil="true"/>
    <MigrationWizIdDocumentLibraryPermissions xmlns="ddd3adf8-e9ce-43fc-b18f-f114bb3bf01b" xsi:nil="true"/>
    <MigrationWizIdSecurityGroups xmlns="ddd3adf8-e9ce-43fc-b18f-f114bb3bf01b"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CA4B400A3AA37244823AD8DC1C6835A7" ma:contentTypeVersion="16" ma:contentTypeDescription="Create a new document." ma:contentTypeScope="" ma:versionID="48d3fb8d77d5908ea14343df2489da8d">
  <xsd:schema xmlns:xsd="http://www.w3.org/2001/XMLSchema" xmlns:xs="http://www.w3.org/2001/XMLSchema" xmlns:p="http://schemas.microsoft.com/office/2006/metadata/properties" xmlns:ns2="ddd3adf8-e9ce-43fc-b18f-f114bb3bf01b" xmlns:ns3="fa387d1b-7b7d-44fe-8810-fc812ae8cc12" targetNamespace="http://schemas.microsoft.com/office/2006/metadata/properties" ma:root="true" ma:fieldsID="f238a5b439a87a6f33fc1b70cce05a38" ns2:_="" ns3:_="">
    <xsd:import namespace="ddd3adf8-e9ce-43fc-b18f-f114bb3bf01b"/>
    <xsd:import namespace="fa387d1b-7b7d-44fe-8810-fc812ae8cc12"/>
    <xsd:element name="properties">
      <xsd:complexType>
        <xsd:sequence>
          <xsd:element name="documentManagement">
            <xsd:complexType>
              <xsd:all>
                <xsd:element ref="ns2:MigrationWizId" minOccurs="0"/>
                <xsd:element ref="ns2:MigrationWizIdPermissions" minOccurs="0"/>
                <xsd:element ref="ns2:MigrationWizIdPermissionLevels" minOccurs="0"/>
                <xsd:element ref="ns2:MigrationWizIdDocumentLibraryPermissions" minOccurs="0"/>
                <xsd:element ref="ns2:MigrationWizIdSecurityGroups" minOccurs="0"/>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dd3adf8-e9ce-43fc-b18f-f114bb3bf01b" elementFormDefault="qualified">
    <xsd:import namespace="http://schemas.microsoft.com/office/2006/documentManagement/types"/>
    <xsd:import namespace="http://schemas.microsoft.com/office/infopath/2007/PartnerControls"/>
    <xsd:element name="MigrationWizId" ma:index="8" nillable="true" ma:displayName="MigrationWizId" ma:internalName="MigrationWizId">
      <xsd:simpleType>
        <xsd:restriction base="dms:Text"/>
      </xsd:simpleType>
    </xsd:element>
    <xsd:element name="MigrationWizIdPermissions" ma:index="9" nillable="true" ma:displayName="MigrationWizIdPermissions" ma:internalName="MigrationWizIdPermissions">
      <xsd:simpleType>
        <xsd:restriction base="dms:Text"/>
      </xsd:simpleType>
    </xsd:element>
    <xsd:element name="MigrationWizIdPermissionLevels" ma:index="10" nillable="true" ma:displayName="MigrationWizIdPermissionLevels" ma:internalName="MigrationWizIdPermissionLevels">
      <xsd:simpleType>
        <xsd:restriction base="dms:Text"/>
      </xsd:simpleType>
    </xsd:element>
    <xsd:element name="MigrationWizIdDocumentLibraryPermissions" ma:index="11" nillable="true" ma:displayName="MigrationWizIdDocumentLibraryPermissions" ma:internalName="MigrationWizIdDocumentLibraryPermissions">
      <xsd:simpleType>
        <xsd:restriction base="dms:Text"/>
      </xsd:simpleType>
    </xsd:element>
    <xsd:element name="MigrationWizIdSecurityGroups" ma:index="12" nillable="true" ma:displayName="MigrationWizIdSecurityGroups" ma:internalName="MigrationWizIdSecurityGroups">
      <xsd:simpleType>
        <xsd:restriction base="dms:Text"/>
      </xsd:simpleType>
    </xsd:element>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AutoTags" ma:index="17" nillable="true" ma:displayName="Tags" ma:internalName="MediaServiceAutoTags"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ternalName="MediaServiceDateTaken"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a387d1b-7b7d-44fe-8810-fc812ae8cc12" elementFormDefault="qualified">
    <xsd:import namespace="http://schemas.microsoft.com/office/2006/documentManagement/types"/>
    <xsd:import namespace="http://schemas.microsoft.com/office/infopath/2007/PartnerControls"/>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D5B1CAEF-26DD-4BA6-9890-326E51FFAEDF}">
  <ds:schemaRefs>
    <ds:schemaRef ds:uri="http://schemas.microsoft.com/office/2006/metadata/properties"/>
    <ds:schemaRef ds:uri="http://schemas.microsoft.com/office/infopath/2007/PartnerControls"/>
    <ds:schemaRef ds:uri="ddd3adf8-e9ce-43fc-b18f-f114bb3bf01b"/>
  </ds:schemaRefs>
</ds:datastoreItem>
</file>

<file path=customXml/itemProps3.xml><?xml version="1.0" encoding="utf-8"?>
<ds:datastoreItem xmlns:ds="http://schemas.openxmlformats.org/officeDocument/2006/customXml" ds:itemID="{99641B9A-23B7-4874-A0AF-B69226DA0B91}">
  <ds:schemaRefs>
    <ds:schemaRef ds:uri="http://schemas.microsoft.com/sharepoint/v3/contenttype/forms"/>
  </ds:schemaRefs>
</ds:datastoreItem>
</file>

<file path=customXml/itemProps4.xml><?xml version="1.0" encoding="utf-8"?>
<ds:datastoreItem xmlns:ds="http://schemas.openxmlformats.org/officeDocument/2006/customXml" ds:itemID="{55FCFC57-8971-4143-B2D4-80FFE2C4438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dd3adf8-e9ce-43fc-b18f-f114bb3bf01b"/>
    <ds:schemaRef ds:uri="fa387d1b-7b7d-44fe-8810-fc812ae8cc1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C67CF46F-8532-4919-A9CE-86C114B9DD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612</TotalTime>
  <Pages>3</Pages>
  <Words>138</Words>
  <Characters>790</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George West</cp:lastModifiedBy>
  <cp:revision>58</cp:revision>
  <dcterms:created xsi:type="dcterms:W3CDTF">2020-06-09T19:44:00Z</dcterms:created>
  <dcterms:modified xsi:type="dcterms:W3CDTF">2021-06-02T18:25:00Z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42aa342-8706-4288-bd11-ebb85995028c_Enabled">
    <vt:lpwstr>True</vt:lpwstr>
  </property>
  <property fmtid="{D5CDD505-2E9C-101B-9397-08002B2CF9AE}" pid="3" name="MSIP_Label_f42aa342-8706-4288-bd11-ebb85995028c_SiteId">
    <vt:lpwstr>72f988bf-86f1-41af-91ab-2d7cd011db47</vt:lpwstr>
  </property>
  <property fmtid="{D5CDD505-2E9C-101B-9397-08002B2CF9AE}" pid="4" name="MSIP_Label_f42aa342-8706-4288-bd11-ebb85995028c_Owner">
    <vt:lpwstr>v-rosi@microsoft.com</vt:lpwstr>
  </property>
  <property fmtid="{D5CDD505-2E9C-101B-9397-08002B2CF9AE}" pid="5" name="MSIP_Label_f42aa342-8706-4288-bd11-ebb85995028c_SetDate">
    <vt:lpwstr>2020-01-28T16:18:19.3267225Z</vt:lpwstr>
  </property>
  <property fmtid="{D5CDD505-2E9C-101B-9397-08002B2CF9AE}" pid="6" name="MSIP_Label_f42aa342-8706-4288-bd11-ebb85995028c_Name">
    <vt:lpwstr>General</vt:lpwstr>
  </property>
  <property fmtid="{D5CDD505-2E9C-101B-9397-08002B2CF9AE}" pid="7" name="MSIP_Label_f42aa342-8706-4288-bd11-ebb85995028c_Application">
    <vt:lpwstr>Microsoft Azure Information Protection</vt:lpwstr>
  </property>
  <property fmtid="{D5CDD505-2E9C-101B-9397-08002B2CF9AE}" pid="8" name="MSIP_Label_f42aa342-8706-4288-bd11-ebb85995028c_ActionId">
    <vt:lpwstr>f821c66d-b85a-494f-a342-36ae93d075bd</vt:lpwstr>
  </property>
  <property fmtid="{D5CDD505-2E9C-101B-9397-08002B2CF9AE}" pid="9" name="MSIP_Label_f42aa342-8706-4288-bd11-ebb85995028c_Extended_MSFT_Method">
    <vt:lpwstr>Automatic</vt:lpwstr>
  </property>
  <property fmtid="{D5CDD505-2E9C-101B-9397-08002B2CF9AE}" pid="10" name="Sensitivity">
    <vt:lpwstr>General</vt:lpwstr>
  </property>
  <property fmtid="{D5CDD505-2E9C-101B-9397-08002B2CF9AE}" pid="11" name="ContentTypeId">
    <vt:lpwstr>0x010100CA4B400A3AA37244823AD8DC1C6835A7</vt:lpwstr>
  </property>
</Properties>
</file>