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South Africa</w:t>
      </w:r>
      <w:r w:rsidR="00480329"/>
    </w:p>
    <w:p w:rsidRPr="00BC7873" w:rsidR="00BC7873" w:rsidP="00D354EF" w:rsidRDefault="00051AB4" w14:paraId="2476CC56" w14:textId="2FB25FA9">
      <w:pPr>
        <w:pStyle w:val="Title"/>
      </w:pPr>
      <w:r w:rsidRPr="00BC7873">
        <w:t>7. Endnotes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Section 12(1) of the Constitution, 1996.</w:t>
              </w:r>
            </w:p>
            <w:p>
              <w:pPr>
                <w:pStyle w:val="BodyText"/>
              </w:pPr>
              <w:r>
                <w:rPr>
                  <w:color w:val="000000"/>
                  <w:vertAlign w:val="superscript"/>
                </w:rPr>
                <w:t xml:space="preserve">[2]</w:t>
              </w:r>
              <w:r>
                <w:t xml:space="preserve">    The Firearms Control Act seeks to restrict those individuals with a history of domestic violence from owning firearms, given their role in domestic violence and femicide.</w:t>
              </w:r>
            </w:p>
            <w:p>
              <w:pPr>
                <w:pStyle w:val="BodyText"/>
              </w:pPr>
              <w:r>
                <w:rPr>
                  <w:color w:val="000000"/>
                  <w:vertAlign w:val="superscript"/>
                </w:rPr>
                <w:t xml:space="preserve">[3]</w:t>
              </w:r>
              <w:r>
                <w:t xml:space="preserve">    Section 1 of the DVA.</w:t>
              </w:r>
            </w:p>
            <w:p>
              <w:pPr>
                <w:pStyle w:val="BodyText"/>
              </w:pPr>
              <w:r>
                <w:rPr>
                  <w:color w:val="000000"/>
                  <w:vertAlign w:val="superscript"/>
                </w:rPr>
                <w:t xml:space="preserve">[4]</w:t>
              </w:r>
              <w:r>
                <w:t xml:space="preserve">    Section 10 of the Constitution.</w:t>
              </w:r>
            </w:p>
            <w:p>
              <w:pPr>
                <w:pStyle w:val="BodyText"/>
              </w:pPr>
              <w:r>
                <w:rPr>
                  <w:color w:val="000000"/>
                  <w:vertAlign w:val="superscript"/>
                </w:rPr>
                <w:t xml:space="preserve">[5]</w:t>
              </w:r>
              <w:r>
                <w:t xml:space="preserve">    Section 11 of the Constitution.</w:t>
              </w:r>
            </w:p>
            <w:p>
              <w:pPr>
                <w:pStyle w:val="BodyText"/>
              </w:pPr>
              <w:r>
                <w:rPr>
                  <w:color w:val="000000"/>
                  <w:vertAlign w:val="superscript"/>
                </w:rPr>
                <w:t xml:space="preserve">[6]</w:t>
              </w:r>
              <w:r>
                <w:t xml:space="preserve">    Section 12(1) of the Constitution.</w:t>
              </w:r>
            </w:p>
            <w:p>
              <w:pPr>
                <w:pStyle w:val="BodyText"/>
              </w:pPr>
              <w:r>
                <w:rPr>
                  <w:color w:val="000000"/>
                  <w:vertAlign w:val="superscript"/>
                </w:rPr>
                <w:t xml:space="preserve">[7]</w:t>
              </w:r>
              <w:r>
                <w:t xml:space="preserve">    A list of countries that have signed the Maputo Protocol can be accessed </w:t>
              </w:r>
              <w:hyperlink w:history="true" r:id="Re536781c3ca34f0c">
                <w:r>
                  <w:rPr>
                    <w:rStyle w:val="Hyperlink"/>
                    <w:color w:val="000000"/>
                  </w:rPr>
                  <w:t xml:space="preserve">here</w:t>
                </w:r>
              </w:hyperlink>
              <w:r>
                <w:t xml:space="preserve">.</w:t>
              </w:r>
            </w:p>
            <w:p>
              <w:pPr>
                <w:pStyle w:val="BodyText"/>
              </w:pPr>
              <w:r>
                <w:rPr>
                  <w:color w:val="000000"/>
                  <w:vertAlign w:val="superscript"/>
                </w:rPr>
                <w:t xml:space="preserve">[8]</w:t>
              </w:r>
              <w:r>
                <w:t xml:space="preserve">    A list of countries that have signed the Maputo Protocol can be accessed </w:t>
              </w:r>
              <w:hyperlink w:history="true" r:id="R32a532b40dfe4c54">
                <w:r>
                  <w:rPr>
                    <w:rStyle w:val="Hyperlink"/>
                    <w:color w:val="000000"/>
                  </w:rPr>
                  <w:t xml:space="preserve">here</w:t>
                </w:r>
              </w:hyperlink>
              <w:r>
                <w:t xml:space="preserve">.</w:t>
              </w:r>
            </w:p>
            <w:p>
              <w:pPr>
                <w:pStyle w:val="BodyText"/>
              </w:pPr>
              <w:r>
                <w:rPr>
                  <w:color w:val="000000"/>
                  <w:vertAlign w:val="superscript"/>
                </w:rPr>
                <w:t xml:space="preserve">[9]</w:t>
              </w:r>
              <w:r>
                <w:rPr>
                  <w:vertAlign w:val="superscript"/>
                </w:rPr>
                <w:t xml:space="preserve"> </w:t>
              </w:r>
              <w:r>
                <w:t xml:space="preserve">   Sections 9 and 12 of the Constitution.</w:t>
              </w:r>
            </w:p>
            <w:p>
              <w:pPr>
                <w:pStyle w:val="BodyText"/>
              </w:pPr>
              <w:r>
                <w:rPr>
                  <w:color w:val="000000"/>
                  <w:vertAlign w:val="superscript"/>
                </w:rPr>
                <w:t xml:space="preserve">[10]</w:t>
              </w:r>
              <w:r>
                <w:rPr>
                  <w:i/>
                </w:rPr>
                <w:t xml:space="preserve">    Tshabalala v S and a related matter</w:t>
              </w:r>
              <w:r>
                <w:t xml:space="preserve"> (Commission for Equality and another as amici curiae) 2020 (3) BCLR 307 (CC) at para 98 and 99.</w:t>
              </w:r>
            </w:p>
            <w:p>
              <w:pPr>
                <w:pStyle w:val="BodyText"/>
              </w:pPr>
              <w:r>
                <w:rPr>
                  <w:color w:val="000000"/>
                  <w:vertAlign w:val="superscript"/>
                </w:rPr>
                <w:t xml:space="preserve">[11]</w:t>
              </w:r>
              <w:r>
                <w:t xml:space="preserve">    Section 56 of the Criminal Law (Sexual Offences and Related Matters) Amendment Act.</w:t>
              </w:r>
            </w:p>
            <w:p>
              <w:pPr>
                <w:pStyle w:val="BodyText"/>
              </w:pPr>
              <w:r>
                <w:rPr>
                  <w:color w:val="000000"/>
                  <w:vertAlign w:val="superscript"/>
                </w:rPr>
                <w:t xml:space="preserve">[12]</w:t>
              </w:r>
              <w:r>
                <w:t xml:space="preserve">    Section 1 of the DVA.</w:t>
              </w:r>
            </w:p>
            <w:p>
              <w:pPr>
                <w:pStyle w:val="BodyText"/>
              </w:pPr>
              <w:r>
                <w:rPr>
                  <w:color w:val="000000"/>
                  <w:vertAlign w:val="superscript"/>
                </w:rPr>
                <w:t xml:space="preserve">[13]</w:t>
              </w:r>
              <w:r>
                <w:t xml:space="preserve">    Section 1 of the DVA.</w:t>
              </w:r>
            </w:p>
            <w:p>
              <w:pPr>
                <w:pStyle w:val="BodyText"/>
              </w:pPr>
              <w:r>
                <w:rPr>
                  <w:color w:val="000000"/>
                  <w:vertAlign w:val="superscript"/>
                </w:rPr>
                <w:t xml:space="preserve">[14]</w:t>
              </w:r>
              <w:r>
                <w:t xml:space="preserve">    Section 1 of the DVA.</w:t>
              </w:r>
            </w:p>
            <w:p>
              <w:pPr>
                <w:pStyle w:val="BodyText"/>
              </w:pPr>
              <w:r>
                <w:rPr>
                  <w:color w:val="000000"/>
                  <w:vertAlign w:val="superscript"/>
                </w:rPr>
                <w:t xml:space="preserve">[15]</w:t>
              </w:r>
              <w:r>
                <w:t xml:space="preserve">    Throughout this memorandum the terms "victim" and "complainant" will be used interchangeably, as necessitated by context.</w:t>
              </w:r>
            </w:p>
            <w:p>
              <w:pPr>
                <w:pStyle w:val="BodyText"/>
              </w:pPr>
              <w:r>
                <w:rPr>
                  <w:color w:val="000000"/>
                  <w:vertAlign w:val="superscript"/>
                </w:rPr>
                <w:t xml:space="preserve">[16]</w:t>
              </w:r>
              <w:r>
                <w:t xml:space="preserve">    Throughout this memorandum the terms "abuser" and "respondent" will be used interchangeably, as necessitated by context.</w:t>
              </w:r>
            </w:p>
            <w:p>
              <w:pPr>
                <w:pStyle w:val="BodyText"/>
              </w:pPr>
              <w:r>
                <w:rPr>
                  <w:color w:val="000000"/>
                  <w:vertAlign w:val="superscript"/>
                </w:rPr>
                <w:t xml:space="preserve">[17]</w:t>
              </w:r>
              <w:r>
                <w:t xml:space="preserve">    Section 1 of the DVA.</w:t>
              </w:r>
            </w:p>
            <w:p>
              <w:pPr>
                <w:pStyle w:val="BodyText"/>
              </w:pPr>
              <w:r>
                <w:rPr>
                  <w:color w:val="000000"/>
                  <w:vertAlign w:val="superscript"/>
                </w:rPr>
                <w:t xml:space="preserve">[18]</w:t>
              </w:r>
              <w:r>
                <w:t xml:space="preserve">    Refer to </w:t>
              </w:r>
              <w:hyperlink w:history="true" r:id="R202c11f26e874ee2">
                <w:r>
                  <w:rPr>
                    <w:rStyle w:val="Hyperlink"/>
                    <w:color w:val="000000"/>
                  </w:rPr>
                  <w:t xml:space="preserve">https://www.saps.gov.za/services/protection_order.php</w:t>
                </w:r>
              </w:hyperlink>
              <w:r>
                <w:t xml:space="preserve">.</w:t>
              </w:r>
            </w:p>
            <w:p>
              <w:pPr>
                <w:pStyle w:val="BodyText"/>
              </w:pPr>
              <w:r>
                <w:rPr>
                  <w:color w:val="000000"/>
                  <w:vertAlign w:val="superscript"/>
                </w:rPr>
                <w:t xml:space="preserve">[19]</w:t>
              </w:r>
              <w:r>
                <w:t xml:space="preserve">    Blue Chip 2 (Pty) Limited trading as Blue Chip 49 v Ryneveldt and others (National Credit Regulator as amicus curiae) [2016] JOL 36049 (SCA).</w:t>
              </w:r>
            </w:p>
            <w:p>
              <w:pPr>
                <w:pStyle w:val="BodyText"/>
              </w:pPr>
              <w:r>
                <w:rPr>
                  <w:color w:val="000000"/>
                  <w:vertAlign w:val="superscript"/>
                </w:rPr>
                <w:t xml:space="preserve">[20]</w:t>
              </w:r>
              <w:r>
                <w:t xml:space="preserve">    See the Prevention of Family Violence Act, 1993 under which the martial rape exemption was abolished.</w:t>
              </w:r>
            </w:p>
            <w:p>
              <w:pPr>
                <w:pStyle w:val="BodyText"/>
              </w:pPr>
              <w:r>
                <w:rPr>
                  <w:color w:val="000000"/>
                  <w:vertAlign w:val="superscript"/>
                </w:rPr>
                <w:t xml:space="preserve">[21]</w:t>
              </w:r>
              <w:r>
                <w:t xml:space="preserve">    Section 1 of the DVA.</w:t>
              </w:r>
            </w:p>
            <w:p>
              <w:pPr>
                <w:pStyle w:val="BodyText"/>
              </w:pPr>
              <w:r>
                <w:rPr>
                  <w:color w:val="000000"/>
                  <w:vertAlign w:val="superscript"/>
                </w:rPr>
                <w:t xml:space="preserve">[22]</w:t>
              </w:r>
              <w:r>
                <w:t xml:space="preserve">    Section 1 of the DVA.</w:t>
              </w:r>
            </w:p>
            <w:p>
              <w:pPr>
                <w:pStyle w:val="BodyText"/>
              </w:pPr>
              <w:r>
                <w:rPr>
                  <w:color w:val="000000"/>
                  <w:vertAlign w:val="superscript"/>
                </w:rPr>
                <w:t xml:space="preserve">[23]</w:t>
              </w:r>
              <w:r>
                <w:t xml:space="preserve">    Section 1 of the DVA.</w:t>
              </w:r>
            </w:p>
            <w:p>
              <w:pPr>
                <w:pStyle w:val="BodyText"/>
              </w:pPr>
              <w:r>
                <w:rPr>
                  <w:color w:val="000000"/>
                  <w:vertAlign w:val="superscript"/>
                </w:rPr>
                <w:t xml:space="preserve">[24]</w:t>
              </w:r>
              <w:r>
                <w:t xml:space="preserve">    Section 1 of the DVA.</w:t>
              </w:r>
            </w:p>
            <w:p>
              <w:pPr>
                <w:pStyle w:val="BodyText"/>
              </w:pPr>
              <w:r>
                <w:rPr>
                  <w:color w:val="000000"/>
                  <w:vertAlign w:val="superscript"/>
                </w:rPr>
                <w:t xml:space="preserve">[25]</w:t>
              </w:r>
              <w:r>
                <w:t xml:space="preserve">    Section 1 of the DVA.</w:t>
              </w:r>
            </w:p>
            <w:p>
              <w:pPr>
                <w:pStyle w:val="BodyText"/>
              </w:pPr>
              <w:r>
                <w:rPr>
                  <w:color w:val="000000"/>
                  <w:vertAlign w:val="superscript"/>
                </w:rPr>
                <w:t xml:space="preserve">[26]</w:t>
              </w:r>
              <w:r>
                <w:t xml:space="preserve">    Section 1 of the DVA.</w:t>
              </w:r>
            </w:p>
            <w:p>
              <w:pPr>
                <w:pStyle w:val="BodyText"/>
              </w:pPr>
              <w:r>
                <w:rPr>
                  <w:color w:val="000000"/>
                  <w:vertAlign w:val="superscript"/>
                </w:rPr>
                <w:t xml:space="preserve">[27]</w:t>
              </w:r>
              <w:r>
                <w:t xml:space="preserve">    Section 1 of the DVA.</w:t>
              </w:r>
            </w:p>
            <w:p>
              <w:pPr>
                <w:pStyle w:val="BodyText"/>
              </w:pPr>
              <w:r>
                <w:rPr>
                  <w:color w:val="000000"/>
                  <w:vertAlign w:val="superscript"/>
                </w:rPr>
                <w:t xml:space="preserve">[28]</w:t>
              </w:r>
              <w:r>
                <w:t xml:space="preserve">    Section 1 of the DVA.</w:t>
              </w:r>
            </w:p>
            <w:p>
              <w:pPr>
                <w:pStyle w:val="BodyText"/>
              </w:pPr>
              <w:r>
                <w:rPr>
                  <w:color w:val="000000"/>
                  <w:vertAlign w:val="superscript"/>
                </w:rPr>
                <w:t xml:space="preserve">[29]</w:t>
              </w:r>
              <w:r>
                <w:t xml:space="preserve">    Section 1 of the DVA.</w:t>
              </w:r>
            </w:p>
            <w:p>
              <w:pPr>
                <w:pStyle w:val="BodyText"/>
              </w:pPr>
              <w:r>
                <w:rPr>
                  <w:color w:val="000000"/>
                  <w:vertAlign w:val="superscript"/>
                </w:rPr>
                <w:t xml:space="preserve">[30]</w:t>
              </w:r>
              <w:r>
                <w:t xml:space="preserve">    Section 4(1) of the DVA.</w:t>
              </w:r>
            </w:p>
            <w:p>
              <w:pPr>
                <w:pStyle w:val="BodyText"/>
              </w:pPr>
              <w:r>
                <w:rPr>
                  <w:color w:val="000000"/>
                  <w:vertAlign w:val="superscript"/>
                </w:rPr>
                <w:t xml:space="preserve">[31]</w:t>
              </w:r>
              <w:r>
                <w:t xml:space="preserve">    Under the terms of Section 1 of the DVA, a domestic relationship means "a relationship between a complainant and a respondent in any of the following ways: (a) they are or were married to each other, including marriage according to any law, custom or religion; (b) they (whether they are of the same or of the opposite sex) live or lived together in a relationship in the nature of marriage, although they are not, or were not, married to each other, or are not able to be married to each other; (c) they are the parents of a child or are persons who have or had parental responsibility for that child (whether or not at the same time); (d) they are family members related by consanguinity, affinity or adoption; (e) they are or were in an engagement, dating or customary relationship, including an actual or perceived romantic, intimate or sexual relationship of any duration; or (f) they share or recently shared the same residence."</w:t>
              </w:r>
            </w:p>
            <w:p>
              <w:pPr>
                <w:pStyle w:val="BodyText"/>
              </w:pPr>
              <w:r>
                <w:rPr>
                  <w:color w:val="000000"/>
                  <w:vertAlign w:val="superscript"/>
                </w:rPr>
                <w:t xml:space="preserve">[32]</w:t>
              </w:r>
              <w:r>
                <w:t xml:space="preserve">    Section 1 of the DVA.</w:t>
              </w:r>
            </w:p>
            <w:p>
              <w:pPr>
                <w:pStyle w:val="BodyText"/>
              </w:pPr>
              <w:r>
                <w:rPr>
                  <w:color w:val="000000"/>
                  <w:vertAlign w:val="superscript"/>
                </w:rPr>
                <w:t xml:space="preserve">[33]</w:t>
              </w:r>
              <w:r>
                <w:t xml:space="preserve">    Section 4(4) of the DVA.</w:t>
              </w:r>
            </w:p>
            <w:p>
              <w:pPr>
                <w:pStyle w:val="BodyText"/>
              </w:pPr>
              <w:r>
                <w:rPr>
                  <w:color w:val="000000"/>
                  <w:vertAlign w:val="superscript"/>
                </w:rPr>
                <w:t xml:space="preserve">[34]</w:t>
              </w:r>
              <w:r>
                <w:t xml:space="preserve">    Section 4(3) of the DVA.</w:t>
              </w:r>
            </w:p>
            <w:p>
              <w:pPr>
                <w:pStyle w:val="BodyText"/>
              </w:pPr>
              <w:r>
                <w:rPr>
                  <w:color w:val="000000"/>
                  <w:vertAlign w:val="superscript"/>
                </w:rPr>
                <w:t xml:space="preserve">[35]</w:t>
              </w:r>
              <w:r>
                <w:t xml:space="preserve">    Section 7(6) of the DVA.</w:t>
              </w:r>
            </w:p>
            <w:p>
              <w:pPr>
                <w:pStyle w:val="BodyText"/>
              </w:pPr>
              <w:r>
                <w:rPr>
                  <w:color w:val="000000"/>
                  <w:vertAlign w:val="superscript"/>
                </w:rPr>
                <w:t xml:space="preserve">[36]</w:t>
              </w:r>
              <w:r>
                <w:t xml:space="preserve">    Section 7(3) and 7(4) of the DVA.</w:t>
              </w:r>
            </w:p>
            <w:p>
              <w:pPr>
                <w:pStyle w:val="BodyText"/>
              </w:pPr>
              <w:r>
                <w:rPr>
                  <w:color w:val="000000"/>
                  <w:vertAlign w:val="superscript"/>
                </w:rPr>
                <w:t xml:space="preserve">[37]</w:t>
              </w:r>
              <w:r>
                <w:t xml:space="preserve">    Section 7(7)(b) of the DVA.</w:t>
              </w:r>
            </w:p>
            <w:p>
              <w:pPr>
                <w:pStyle w:val="BodyText"/>
              </w:pPr>
              <w:r>
                <w:rPr>
                  <w:color w:val="000000"/>
                  <w:vertAlign w:val="superscript"/>
                </w:rPr>
                <w:t xml:space="preserve">[38]</w:t>
              </w:r>
              <w:r>
                <w:t xml:space="preserve">    Section 7(7)(a) of the DVA.</w:t>
              </w:r>
            </w:p>
            <w:p>
              <w:pPr>
                <w:pStyle w:val="BodyText"/>
              </w:pPr>
              <w:r>
                <w:rPr>
                  <w:color w:val="000000"/>
                  <w:vertAlign w:val="superscript"/>
                </w:rPr>
                <w:t xml:space="preserve">[39]</w:t>
              </w:r>
              <w:r>
                <w:t xml:space="preserve">    Section 7(1) of the DVA.</w:t>
              </w:r>
            </w:p>
            <w:p>
              <w:pPr>
                <w:pStyle w:val="BodyText"/>
              </w:pPr>
              <w:r>
                <w:rPr>
                  <w:color w:val="000000"/>
                  <w:vertAlign w:val="superscript"/>
                </w:rPr>
                <w:t xml:space="preserve">[40]</w:t>
              </w:r>
              <w:r>
                <w:t xml:space="preserve">    Section 7(1) of the DVA.</w:t>
              </w:r>
            </w:p>
            <w:p>
              <w:pPr>
                <w:pStyle w:val="BodyText"/>
              </w:pPr>
              <w:r>
                <w:rPr>
                  <w:color w:val="000000"/>
                  <w:vertAlign w:val="superscript"/>
                </w:rPr>
                <w:t xml:space="preserve">[41]</w:t>
              </w:r>
              <w:r>
                <w:t xml:space="preserve">    Section 7(1) of the DVA.</w:t>
              </w:r>
            </w:p>
            <w:p>
              <w:pPr>
                <w:pStyle w:val="BodyText"/>
              </w:pPr>
              <w:r>
                <w:rPr>
                  <w:color w:val="000000"/>
                  <w:vertAlign w:val="superscript"/>
                </w:rPr>
                <w:t xml:space="preserve">[42]</w:t>
              </w:r>
              <w:r>
                <w:t xml:space="preserve">    Section 5(2) of the DVA; Section 3(2) of the PFH Act.</w:t>
              </w:r>
            </w:p>
            <w:p>
              <w:pPr>
                <w:pStyle w:val="BodyText"/>
              </w:pPr>
              <w:r>
                <w:rPr>
                  <w:color w:val="000000"/>
                  <w:vertAlign w:val="superscript"/>
                </w:rPr>
                <w:t xml:space="preserve">[43]</w:t>
              </w:r>
              <w:r>
                <w:t xml:space="preserve">    Section 4(5) of the DVA; Section 2(5) of the PFH Act.</w:t>
              </w:r>
            </w:p>
            <w:p>
              <w:pPr>
                <w:pStyle w:val="BodyText"/>
              </w:pPr>
              <w:r>
                <w:rPr>
                  <w:color w:val="000000"/>
                  <w:vertAlign w:val="superscript"/>
                </w:rPr>
                <w:t xml:space="preserve">[44]</w:t>
              </w:r>
              <w:r>
                <w:t xml:space="preserve">    Section 4(3) of the DVA.</w:t>
              </w:r>
            </w:p>
            <w:p>
              <w:pPr>
                <w:pStyle w:val="BodyText"/>
              </w:pPr>
              <w:r>
                <w:rPr>
                  <w:color w:val="000000"/>
                  <w:vertAlign w:val="superscript"/>
                </w:rPr>
                <w:t xml:space="preserve">[45]</w:t>
              </w:r>
              <w:r>
                <w:t xml:space="preserve">    Section 4(3) of the DVA</w:t>
              </w:r>
            </w:p>
            <w:p>
              <w:pPr>
                <w:pStyle w:val="BodyText"/>
              </w:pPr>
              <w:r>
                <w:rPr>
                  <w:color w:val="000000"/>
                  <w:vertAlign w:val="superscript"/>
                </w:rPr>
                <w:t xml:space="preserve">[46]</w:t>
              </w:r>
              <w:r>
                <w:t xml:space="preserve">    Section 4(4) of the DVA.</w:t>
              </w:r>
            </w:p>
            <w:p>
              <w:pPr>
                <w:pStyle w:val="BodyText"/>
              </w:pPr>
              <w:r>
                <w:rPr>
                  <w:color w:val="000000"/>
                  <w:vertAlign w:val="superscript"/>
                </w:rPr>
                <w:t xml:space="preserve">[47]</w:t>
              </w:r>
              <w:r>
                <w:t xml:space="preserve">    Section 5(6) of the DVA.</w:t>
              </w:r>
            </w:p>
            <w:p>
              <w:pPr>
                <w:pStyle w:val="BodyText"/>
              </w:pPr>
              <w:r>
                <w:rPr>
                  <w:color w:val="000000"/>
                  <w:vertAlign w:val="superscript"/>
                </w:rPr>
                <w:t xml:space="preserve">[48]</w:t>
              </w:r>
              <w:r>
                <w:t xml:space="preserve">    Section 6(7) of the DVA.</w:t>
              </w:r>
            </w:p>
            <w:p>
              <w:pPr>
                <w:pStyle w:val="BodyText"/>
              </w:pPr>
              <w:r>
                <w:rPr>
                  <w:color w:val="000000"/>
                  <w:vertAlign w:val="superscript"/>
                </w:rPr>
                <w:t xml:space="preserve">[49]</w:t>
              </w:r>
              <w:r>
                <w:t xml:space="preserve">    Section 5 of the DVA.</w:t>
              </w:r>
            </w:p>
            <w:p>
              <w:pPr>
                <w:pStyle w:val="BodyText"/>
              </w:pPr>
              <w:r>
                <w:rPr>
                  <w:color w:val="000000"/>
                  <w:vertAlign w:val="superscript"/>
                </w:rPr>
                <w:t xml:space="preserve">[50]</w:t>
              </w:r>
              <w:r>
                <w:t xml:space="preserve">    Section 6(7) of the DVA.</w:t>
              </w:r>
            </w:p>
            <w:p>
              <w:pPr>
                <w:pStyle w:val="BodyText"/>
              </w:pPr>
              <w:r>
                <w:rPr>
                  <w:color w:val="000000"/>
                  <w:vertAlign w:val="superscript"/>
                </w:rPr>
                <w:t xml:space="preserve">[51]</w:t>
              </w:r>
              <w:r>
                <w:t xml:space="preserve">    Section 1 of the DVA.</w:t>
              </w:r>
            </w:p>
            <w:p>
              <w:pPr>
                <w:pStyle w:val="BodyText"/>
              </w:pPr>
              <w:r>
                <w:rPr>
                  <w:color w:val="000000"/>
                  <w:vertAlign w:val="superscript"/>
                </w:rPr>
                <w:t xml:space="preserve">[52]</w:t>
              </w:r>
              <w:r>
                <w:t xml:space="preserve">    Section 9(8) of the PFH Act.</w:t>
              </w:r>
            </w:p>
            <w:p>
              <w:pPr>
                <w:pStyle w:val="BodyText"/>
              </w:pPr>
              <w:r>
                <w:rPr>
                  <w:color w:val="000000"/>
                  <w:vertAlign w:val="superscript"/>
                </w:rPr>
                <w:t xml:space="preserve">[53]</w:t>
              </w:r>
              <w:r>
                <w:t xml:space="preserve">    Section 5(2) of the DVA.</w:t>
              </w:r>
            </w:p>
            <w:p>
              <w:pPr>
                <w:pStyle w:val="BodyText"/>
              </w:pPr>
              <w:r>
                <w:rPr>
                  <w:color w:val="000000"/>
                  <w:vertAlign w:val="superscript"/>
                </w:rPr>
                <w:t xml:space="preserve">[54]</w:t>
              </w:r>
              <w:r>
                <w:t xml:space="preserve">    Section 5(3) of the DVA.</w:t>
              </w:r>
            </w:p>
            <w:p>
              <w:pPr>
                <w:pStyle w:val="BodyText"/>
              </w:pPr>
              <w:r>
                <w:rPr>
                  <w:color w:val="000000"/>
                  <w:vertAlign w:val="superscript"/>
                </w:rPr>
                <w:t xml:space="preserve">[55]</w:t>
              </w:r>
              <w:r>
                <w:t xml:space="preserve">    Section 6(2) of the DVA.</w:t>
              </w:r>
            </w:p>
            <w:p>
              <w:pPr>
                <w:pStyle w:val="BodyText"/>
              </w:pPr>
              <w:r>
                <w:rPr>
                  <w:color w:val="000000"/>
                  <w:vertAlign w:val="superscript"/>
                </w:rPr>
                <w:t xml:space="preserve">[56]</w:t>
              </w:r>
              <w:r>
                <w:t xml:space="preserve">    Section 6(1) of the DVA.</w:t>
              </w:r>
            </w:p>
            <w:p>
              <w:pPr>
                <w:pStyle w:val="BodyText"/>
              </w:pPr>
              <w:r>
                <w:rPr>
                  <w:color w:val="000000"/>
                  <w:vertAlign w:val="superscript"/>
                </w:rPr>
                <w:t xml:space="preserve">[57]</w:t>
              </w:r>
              <w:r>
                <w:t xml:space="preserve">    Section 10 of the DVA.</w:t>
              </w:r>
            </w:p>
            <w:p>
              <w:pPr>
                <w:pStyle w:val="BodyText"/>
              </w:pPr>
              <w:r>
                <w:rPr>
                  <w:color w:val="000000"/>
                  <w:vertAlign w:val="superscript"/>
                </w:rPr>
                <w:t xml:space="preserve">[58]</w:t>
              </w:r>
              <w:r>
                <w:t xml:space="preserve">    Section 9(8) of the PFH Act.</w:t>
              </w:r>
            </w:p>
            <w:p>
              <w:pPr>
                <w:pStyle w:val="BodyText"/>
              </w:pPr>
              <w:r>
                <w:rPr>
                  <w:color w:val="000000"/>
                  <w:vertAlign w:val="superscript"/>
                </w:rPr>
                <w:t xml:space="preserve">[59]</w:t>
              </w:r>
              <w:r>
                <w:t xml:space="preserve">    Refer to: Domestic Violence. Justice College, </w:t>
              </w:r>
              <w:hyperlink w:history="true" r:id="Rd6f6294814de4abe">
                <w:r>
                  <w:rPr>
                    <w:rStyle w:val="Hyperlink"/>
                  </w:rPr>
                  <w:t xml:space="preserve">www.justice.gov.za/juscol/docs/article-02.html</w:t>
                </w:r>
              </w:hyperlink>
              <w:r>
                <w:t xml:space="preserve">.</w:t>
              </w:r>
            </w:p>
            <w:p>
              <w:pPr>
                <w:pStyle w:val="BodyText"/>
              </w:pPr>
              <w:r>
                <w:rPr>
                  <w:color w:val="000000"/>
                  <w:vertAlign w:val="superscript"/>
                </w:rPr>
                <w:t xml:space="preserve">[60]</w:t>
              </w:r>
              <w:r>
                <w:t xml:space="preserve">    Form 2 in terms of Section 4(1) of the DVA.</w:t>
              </w:r>
            </w:p>
            <w:p>
              <w:pPr>
                <w:pStyle w:val="BodyText"/>
              </w:pPr>
              <w:r>
                <w:rPr>
                  <w:color w:val="000000"/>
                  <w:vertAlign w:val="superscript"/>
                </w:rPr>
                <w:t xml:space="preserve">[61]</w:t>
              </w:r>
              <w:r>
                <w:t xml:space="preserve">    All forms are available at: </w:t>
              </w:r>
              <w:hyperlink w:history="true" r:id="R88310d1b7f194225">
                <w:r>
                  <w:rPr>
                    <w:rStyle w:val="Hyperlink"/>
                  </w:rPr>
                  <w:t xml:space="preserve">https://www.justice.gov.za/forms/form_dva.htm</w:t>
                </w:r>
              </w:hyperlink>
              <w:r>
                <w:t xml:space="preserve">; or see application Form 2 PDF at </w:t>
              </w:r>
              <w:hyperlink w:history="true" r:id="Radb5ce1bb56d4d4a">
                <w:r>
                  <w:rPr>
                    <w:rStyle w:val="Hyperlink"/>
                  </w:rPr>
                  <w:t xml:space="preserve">https://www.justice.gov.za/forms/dva/dva_form%2002.pdf</w:t>
                </w:r>
              </w:hyperlink>
              <w:r>
                <w:t xml:space="preserve">.</w:t>
              </w:r>
            </w:p>
            <w:p>
              <w:pPr>
                <w:pStyle w:val="BodyText"/>
              </w:pPr>
              <w:r>
                <w:rPr>
                  <w:color w:val="000000"/>
                  <w:vertAlign w:val="superscript"/>
                </w:rPr>
                <w:t xml:space="preserve">[62]</w:t>
              </w:r>
              <w:r>
                <w:t xml:space="preserve">    Form 2 under Section 4(1) of the DVA.</w:t>
              </w:r>
            </w:p>
            <w:p>
              <w:pPr>
                <w:pStyle w:val="BodyText"/>
              </w:pPr>
              <w:r>
                <w:rPr>
                  <w:color w:val="000000"/>
                  <w:vertAlign w:val="superscript"/>
                </w:rPr>
                <w:t xml:space="preserve">[63]</w:t>
              </w:r>
              <w:r>
                <w:t xml:space="preserve">    If an applicant does not have this information, she will need to give some indication as to where the respondent can be found.</w:t>
              </w:r>
            </w:p>
            <w:p>
              <w:pPr>
                <w:pStyle w:val="BodyText"/>
              </w:pPr>
              <w:r>
                <w:rPr>
                  <w:color w:val="000000"/>
                  <w:vertAlign w:val="superscript"/>
                </w:rPr>
                <w:t xml:space="preserve">[64]</w:t>
              </w:r>
              <w:r>
                <w:t xml:space="preserve">    Section 5(1) of the DVA; see also: Justice Department FAQs on Domestic Violence at </w:t>
              </w:r>
              <w:hyperlink w:history="true" r:id="R053b85af3c864d8d">
                <w:r>
                  <w:rPr>
                    <w:rStyle w:val="Hyperlink"/>
                  </w:rPr>
                  <w:t xml:space="preserve">https://www.justice.gov.za/vg/dv-faq.html</w:t>
                </w:r>
              </w:hyperlink>
              <w:r>
                <w:t xml:space="preserve">.</w:t>
              </w:r>
            </w:p>
            <w:p>
              <w:pPr>
                <w:pStyle w:val="BodyText"/>
              </w:pPr>
              <w:r>
                <w:rPr>
                  <w:color w:val="000000"/>
                  <w:vertAlign w:val="superscript"/>
                </w:rPr>
                <w:t xml:space="preserve">[65]</w:t>
              </w:r>
              <w:r>
                <w:t xml:space="preserve">    Section 11(1) of the DVA.</w:t>
              </w:r>
            </w:p>
            <w:p>
              <w:pPr>
                <w:pStyle w:val="BodyText"/>
              </w:pPr>
              <w:r>
                <w:rPr>
                  <w:color w:val="000000"/>
                  <w:vertAlign w:val="superscript"/>
                </w:rPr>
                <w:t xml:space="preserve">[66]</w:t>
              </w:r>
              <w:r>
                <w:t xml:space="preserve">    Section 11(1) of the DVA.</w:t>
              </w:r>
            </w:p>
            <w:p>
              <w:pPr>
                <w:pStyle w:val="BodyText"/>
              </w:pPr>
              <w:r>
                <w:rPr>
                  <w:color w:val="000000"/>
                  <w:vertAlign w:val="superscript"/>
                </w:rPr>
                <w:t xml:space="preserve">[67]</w:t>
              </w:r>
              <w:r>
                <w:t xml:space="preserve">    Section 11(1)(b) of the DVA.</w:t>
              </w:r>
            </w:p>
            <w:p>
              <w:pPr>
                <w:pStyle w:val="BodyText"/>
              </w:pPr>
              <w:r>
                <w:rPr>
                  <w:color w:val="000000"/>
                  <w:vertAlign w:val="superscript"/>
                </w:rPr>
                <w:t xml:space="preserve">[68]</w:t>
              </w:r>
              <w:r>
                <w:t xml:space="preserve">    Section IV.C.(a)(i) of CEDAW Recommendation 35.</w:t>
              </w:r>
            </w:p>
            <w:p>
              <w:pPr>
                <w:pStyle w:val="BodyText"/>
              </w:pPr>
              <w:r>
                <w:rPr>
                  <w:color w:val="000000"/>
                  <w:vertAlign w:val="superscript"/>
                </w:rPr>
                <w:t xml:space="preserve">[69]</w:t>
              </w:r>
              <w:r>
                <w:t xml:space="preserve">    Section 7 of the DVA.</w:t>
              </w:r>
            </w:p>
            <w:p>
              <w:pPr>
                <w:pStyle w:val="BodyText"/>
              </w:pPr>
              <w:r>
                <w:rPr>
                  <w:color w:val="000000"/>
                  <w:vertAlign w:val="superscript"/>
                </w:rPr>
                <w:t xml:space="preserve">[70]</w:t>
              </w:r>
              <w:r>
                <w:t xml:space="preserve">    Section 5(5) of the DVA.</w:t>
              </w:r>
            </w:p>
            <w:p>
              <w:pPr>
                <w:pStyle w:val="BodyText"/>
              </w:pPr>
              <w:r>
                <w:rPr>
                  <w:color w:val="000000"/>
                  <w:vertAlign w:val="superscript"/>
                </w:rPr>
                <w:t xml:space="preserve">[71]</w:t>
              </w:r>
              <w:r>
                <w:t xml:space="preserve">    Section 5(2) of the DVA</w:t>
              </w:r>
            </w:p>
            <w:p>
              <w:pPr>
                <w:pStyle w:val="BodyText"/>
              </w:pPr>
              <w:r>
                <w:rPr>
                  <w:color w:val="000000"/>
                  <w:vertAlign w:val="superscript"/>
                </w:rPr>
                <w:t xml:space="preserve">[72]</w:t>
              </w:r>
              <w:r>
                <w:t xml:space="preserve">    Section 4(5) of the DVA.</w:t>
              </w:r>
            </w:p>
            <w:p>
              <w:pPr>
                <w:pStyle w:val="BodyText"/>
              </w:pPr>
              <w:r>
                <w:rPr>
                  <w:color w:val="000000"/>
                  <w:vertAlign w:val="superscript"/>
                </w:rPr>
                <w:t xml:space="preserve">[73]</w:t>
              </w:r>
              <w:r>
                <w:t xml:space="preserve">    Under the CPA a peace officer includes "any magistrate, justice, police official, member of the prisons service as defined in Section 1 of the Prisons Act 1959 (Act 8 of 1959) and in relation to any area, offence, class of offence or power referred to in a notice issued under Section 334(1), any person who is a peace officer under that section."</w:t>
              </w:r>
            </w:p>
            <w:p>
              <w:pPr>
                <w:pStyle w:val="BodyText"/>
              </w:pPr>
              <w:r>
                <w:rPr>
                  <w:color w:val="000000"/>
                  <w:vertAlign w:val="superscript"/>
                </w:rPr>
                <w:t xml:space="preserve">[74]</w:t>
              </w:r>
              <w:r>
                <w:t xml:space="preserve">    Section 3 of the DVA.</w:t>
              </w:r>
            </w:p>
            <w:p>
              <w:pPr>
                <w:pStyle w:val="BodyText"/>
              </w:pPr>
              <w:r>
                <w:rPr>
                  <w:color w:val="000000"/>
                  <w:vertAlign w:val="superscript"/>
                </w:rPr>
                <w:t xml:space="preserve">[75]</w:t>
              </w:r>
              <w:r>
                <w:t xml:space="preserve">    Section 5(1) of the DVA.</w:t>
              </w:r>
            </w:p>
            <w:p>
              <w:pPr>
                <w:pStyle w:val="BodyText"/>
              </w:pPr>
              <w:r>
                <w:rPr>
                  <w:color w:val="000000"/>
                  <w:vertAlign w:val="superscript"/>
                </w:rPr>
                <w:t xml:space="preserve">[76]</w:t>
              </w:r>
              <w:r>
                <w:t xml:space="preserve">    In terms of Section 1 of the DVA, an act of "Domestic violence" includes: "physical abuse; sexual abuse; emotional, verbal and psychological abuse; economic abuse; intimidation; harassment; stalking; damage to property; entry into the complaint's residence without consent, where the parties do not share the same residence; or any other controlling or abusive behavior towards a complainant, where such conduct harms, or may cause imminent harm to, the safety, health or wellbeing of the complainant."</w:t>
              </w:r>
            </w:p>
            <w:p>
              <w:pPr>
                <w:pStyle w:val="BodyText"/>
              </w:pPr>
              <w:r>
                <w:rPr>
                  <w:color w:val="000000"/>
                  <w:vertAlign w:val="superscript"/>
                </w:rPr>
                <w:t xml:space="preserve">[77]</w:t>
              </w:r>
              <w:r>
                <w:t xml:space="preserve">    Section 5(2) of the DVA.</w:t>
              </w:r>
            </w:p>
            <w:p>
              <w:pPr>
                <w:pStyle w:val="BodyText"/>
              </w:pPr>
              <w:r>
                <w:rPr>
                  <w:color w:val="000000"/>
                  <w:vertAlign w:val="superscript"/>
                </w:rPr>
                <w:t xml:space="preserve">[78]</w:t>
              </w:r>
              <w:r>
                <w:t xml:space="preserve">    The "Return Date" being not less than 10 days after notice of the proceedings against the abuser has been served on the abuser (Section 5(5) of the DVA).</w:t>
              </w:r>
            </w:p>
            <w:p>
              <w:pPr>
                <w:pStyle w:val="BodyText"/>
              </w:pPr>
              <w:r>
                <w:rPr>
                  <w:color w:val="000000"/>
                  <w:vertAlign w:val="superscript"/>
                </w:rPr>
                <w:t xml:space="preserve">[79]</w:t>
              </w:r>
              <w:r>
                <w:t xml:space="preserve">    Section 6(1) of the DVA.</w:t>
              </w:r>
            </w:p>
            <w:p>
              <w:pPr>
                <w:pStyle w:val="BodyText"/>
              </w:pPr>
              <w:r>
                <w:rPr>
                  <w:color w:val="000000"/>
                  <w:vertAlign w:val="superscript"/>
                </w:rPr>
                <w:t xml:space="preserve">[80]</w:t>
              </w:r>
              <w:r>
                <w:t xml:space="preserve">    Section 6(2) and (4) of the DVA.</w:t>
              </w:r>
            </w:p>
            <w:p>
              <w:pPr>
                <w:pStyle w:val="BodyText"/>
              </w:pPr>
              <w:r>
                <w:rPr>
                  <w:color w:val="000000"/>
                  <w:vertAlign w:val="superscript"/>
                </w:rPr>
                <w:t xml:space="preserve">[81]</w:t>
              </w:r>
              <w:r>
                <w:t xml:space="preserve">    Section 7 of the DVA.</w:t>
              </w:r>
            </w:p>
            <w:p>
              <w:pPr>
                <w:pStyle w:val="BodyText"/>
              </w:pPr>
              <w:r>
                <w:rPr>
                  <w:color w:val="000000"/>
                  <w:vertAlign w:val="superscript"/>
                </w:rPr>
                <w:t xml:space="preserve">[82]</w:t>
              </w:r>
              <w:r>
                <w:t xml:space="preserve">    Section 7(1) of the DVA.</w:t>
              </w:r>
            </w:p>
            <w:p>
              <w:pPr>
                <w:pStyle w:val="BodyText"/>
              </w:pPr>
              <w:r>
                <w:rPr>
                  <w:color w:val="000000"/>
                  <w:vertAlign w:val="superscript"/>
                </w:rPr>
                <w:t xml:space="preserve">[83]</w:t>
              </w:r>
              <w:r>
                <w:t xml:space="preserve">    Section 7(3) of the DVA.</w:t>
              </w:r>
            </w:p>
            <w:p>
              <w:pPr>
                <w:pStyle w:val="BodyText"/>
              </w:pPr>
              <w:r>
                <w:rPr>
                  <w:color w:val="000000"/>
                  <w:vertAlign w:val="superscript"/>
                </w:rPr>
                <w:t xml:space="preserve">[84]</w:t>
              </w:r>
              <w:r>
                <w:t xml:space="preserve">    See commentary from: Lillian Artz "Tough Choices: Difficulties facing magistrates in applying Protection Orders" (2004) SA Crime Quarterly No 8.</w:t>
              </w:r>
            </w:p>
            <w:p>
              <w:pPr>
                <w:pStyle w:val="BodyText"/>
              </w:pPr>
              <w:r>
                <w:rPr>
                  <w:color w:val="000000"/>
                  <w:vertAlign w:val="superscript"/>
                </w:rPr>
                <w:t xml:space="preserve">[85]</w:t>
              </w:r>
              <w:r>
                <w:t xml:space="preserve">    Section 7(2) of the DVA.</w:t>
              </w:r>
            </w:p>
            <w:p>
              <w:pPr>
                <w:pStyle w:val="BodyText"/>
              </w:pPr>
              <w:r>
                <w:rPr>
                  <w:color w:val="000000"/>
                  <w:vertAlign w:val="superscript"/>
                </w:rPr>
                <w:t xml:space="preserve">[86]</w:t>
              </w:r>
              <w:r>
                <w:t xml:space="preserve">    Under the CPA, a peace officer includes "any magistrate, justice, police official, member of the prisons service as defined in Section 1 of the Prisons Act 1959 (Act 8 of 1959) and in relation to any area, offence, class of offence or power referred to in a notice issued under Section 334(1), any person who is a peace officer under that section."</w:t>
              </w:r>
            </w:p>
            <w:p>
              <w:pPr>
                <w:pStyle w:val="BodyText"/>
              </w:pPr>
              <w:r>
                <w:rPr>
                  <w:color w:val="000000"/>
                  <w:vertAlign w:val="superscript"/>
                </w:rPr>
                <w:t xml:space="preserve">[87]</w:t>
              </w:r>
              <w:r>
                <w:t xml:space="preserve">    Section 7(2) of the DVA.</w:t>
              </w:r>
            </w:p>
            <w:p>
              <w:pPr>
                <w:pStyle w:val="BodyText"/>
              </w:pPr>
              <w:r>
                <w:rPr>
                  <w:color w:val="000000"/>
                  <w:vertAlign w:val="superscript"/>
                </w:rPr>
                <w:t xml:space="preserve">[88]</w:t>
              </w:r>
              <w:r>
                <w:rPr>
                  <w:i/>
                </w:rPr>
                <w:t xml:space="preserve">    KS v AM </w:t>
              </w:r>
              <w:r>
                <w:t xml:space="preserve">(A3032/2016) [2017] ZAGPJHC 297; 2018 (1) SACR 240 (GJ) (24 October 2017) at </w:t>
              </w:r>
              <w:r>
                <w:t xml:space="preserve">para 21.</w:t>
              </w:r>
            </w:p>
            <w:p>
              <w:pPr>
                <w:pStyle w:val="BodyText"/>
              </w:pPr>
              <w:r>
                <w:rPr>
                  <w:color w:val="000000"/>
                  <w:vertAlign w:val="superscript"/>
                </w:rPr>
                <w:t xml:space="preserve">[89]</w:t>
              </w:r>
              <w:r>
                <w:t xml:space="preserve">    Section 7(6) of the DVA.</w:t>
              </w:r>
            </w:p>
            <w:p>
              <w:pPr>
                <w:pStyle w:val="BodyText"/>
              </w:pPr>
              <w:r>
                <w:rPr>
                  <w:color w:val="000000"/>
                  <w:vertAlign w:val="superscript"/>
                </w:rPr>
                <w:t xml:space="preserve">[90]</w:t>
              </w:r>
              <w:r>
                <w:t xml:space="preserve">    Section 7(4) of the DVA.</w:t>
              </w:r>
            </w:p>
            <w:p>
              <w:pPr>
                <w:pStyle w:val="BodyText"/>
              </w:pPr>
              <w:r>
                <w:rPr>
                  <w:color w:val="000000"/>
                  <w:vertAlign w:val="superscript"/>
                </w:rPr>
                <w:t xml:space="preserve">[91]</w:t>
              </w:r>
              <w:r>
                <w:t xml:space="preserve">    Section 4(1) of the DVA.</w:t>
              </w:r>
            </w:p>
            <w:p>
              <w:pPr>
                <w:pStyle w:val="BodyText"/>
              </w:pPr>
              <w:r>
                <w:rPr>
                  <w:color w:val="000000"/>
                  <w:vertAlign w:val="superscript"/>
                </w:rPr>
                <w:t xml:space="preserve">[92]</w:t>
              </w:r>
              <w:r>
                <w:t xml:space="preserve">    Under Section 1 of the DVA, a domestic relationship means "a relationship between a complainant and a respondent in any of the following ways: (a) they are or were married to each other, including marriage according to any law, custom or religion; (b) they (whether they are of the same or of the opposite sex) live or lived together in a relationship in the nature of marriage, although they are not, or were not, married to each other, or are not able to be married to each other; (c) they are the parents of a child or are persons who have or had parental responsibility for that child (whether or not at the same time); (d) they are family members related by consanguinity, affinity or adoption; (e) they are or were in an engagement, dating or customary relationship, including an actual or perceived romantic, intimate or sexual relationship of any duration; or (f) they share or recently shared the same residence."</w:t>
              </w:r>
            </w:p>
            <w:p>
              <w:pPr>
                <w:pStyle w:val="BodyText"/>
              </w:pPr>
              <w:r>
                <w:rPr>
                  <w:color w:val="000000"/>
                  <w:vertAlign w:val="superscript"/>
                </w:rPr>
                <w:t xml:space="preserve">[93]</w:t>
              </w:r>
              <w:r>
                <w:t xml:space="preserve">    Section 1 of the DVA.</w:t>
              </w:r>
            </w:p>
            <w:p>
              <w:pPr>
                <w:pStyle w:val="BodyText"/>
              </w:pPr>
              <w:r>
                <w:rPr>
                  <w:color w:val="000000"/>
                  <w:vertAlign w:val="superscript"/>
                </w:rPr>
                <w:t xml:space="preserve">[94]</w:t>
              </w:r>
              <w:r>
                <w:t xml:space="preserve">    Section 4(4) of the DVA.</w:t>
              </w:r>
            </w:p>
            <w:p>
              <w:pPr>
                <w:pStyle w:val="BodyText"/>
              </w:pPr>
              <w:r>
                <w:rPr>
                  <w:color w:val="000000"/>
                  <w:vertAlign w:val="superscript"/>
                </w:rPr>
                <w:t xml:space="preserve">[95]</w:t>
              </w:r>
              <w:r>
                <w:t xml:space="preserve">    Section 7(4) of the DVA.</w:t>
              </w:r>
            </w:p>
            <w:p>
              <w:pPr>
                <w:pStyle w:val="BodyText"/>
              </w:pPr>
              <w:r>
                <w:rPr>
                  <w:color w:val="000000"/>
                  <w:vertAlign w:val="superscript"/>
                </w:rPr>
                <w:t xml:space="preserve">[96]</w:t>
              </w:r>
              <w:r>
                <w:t xml:space="preserve">    Section 1 of the DVA.</w:t>
              </w:r>
            </w:p>
            <w:p>
              <w:pPr>
                <w:pStyle w:val="BodyText"/>
              </w:pPr>
              <w:r>
                <w:rPr>
                  <w:color w:val="000000"/>
                  <w:vertAlign w:val="superscript"/>
                </w:rPr>
                <w:t xml:space="preserve">[97]</w:t>
              </w:r>
              <w:r>
                <w:t xml:space="preserve">    See for example </w:t>
              </w:r>
              <w:r>
                <w:rPr>
                  <w:i/>
                </w:rPr>
                <w:t xml:space="preserve">Mutale v Goldner </w:t>
              </w:r>
              <w:r>
                <w:t xml:space="preserve">(A129/14) [2014] ZAGPPHC 637 (25 August 2014).</w:t>
              </w:r>
            </w:p>
            <w:p>
              <w:pPr>
                <w:pStyle w:val="BodyText"/>
              </w:pPr>
              <w:r>
                <w:rPr>
                  <w:color w:val="000000"/>
                  <w:vertAlign w:val="superscript"/>
                </w:rPr>
                <w:t xml:space="preserve">[98]</w:t>
              </w:r>
              <w:r>
                <w:t xml:space="preserve">    Section 7(7) of the DVA.</w:t>
              </w:r>
            </w:p>
            <w:p>
              <w:pPr>
                <w:pStyle w:val="BodyText"/>
              </w:pPr>
              <w:r>
                <w:rPr>
                  <w:color w:val="000000"/>
                  <w:vertAlign w:val="superscript"/>
                </w:rPr>
                <w:t xml:space="preserve">[99]</w:t>
              </w:r>
              <w:r>
                <w:t xml:space="preserve">    Section 15 of the DVA.</w:t>
              </w:r>
            </w:p>
            <w:p>
              <w:pPr>
                <w:pStyle w:val="BodyText"/>
              </w:pPr>
              <w:r>
                <w:rPr>
                  <w:color w:val="000000"/>
                  <w:vertAlign w:val="superscript"/>
                </w:rPr>
                <w:t xml:space="preserve">[100]</w:t>
              </w:r>
              <w:r>
                <w:t xml:space="preserve">    Section 1 of the DVA.</w:t>
              </w:r>
            </w:p>
            <w:p>
              <w:pPr>
                <w:pStyle w:val="BodyText"/>
              </w:pPr>
              <w:r>
                <w:rPr>
                  <w:color w:val="000000"/>
                  <w:vertAlign w:val="superscript"/>
                </w:rPr>
                <w:t xml:space="preserve">[101]</w:t>
              </w:r>
              <w:r>
                <w:t xml:space="preserve">    Section 2 of the DVA.</w:t>
              </w:r>
            </w:p>
            <w:p>
              <w:pPr>
                <w:pStyle w:val="BodyText"/>
              </w:pPr>
              <w:r>
                <w:rPr>
                  <w:color w:val="000000"/>
                  <w:vertAlign w:val="superscript"/>
                </w:rPr>
                <w:t xml:space="preserve">[102]</w:t>
              </w:r>
              <w:r>
                <w:t xml:space="preserve"> Section 51 of the CPA, a peace officer includes "any magistrate, justice, police official, member of the prisons service as defined in Section 1 of the Prisons Act 1959 (Act 8 of 1959) and in relation to any area, offence, class of offence or power referred to in a notice issued under Section 334(1), any person who is a peace officer under that section."</w:t>
              </w:r>
            </w:p>
            <w:p>
              <w:pPr>
                <w:pStyle w:val="BodyText"/>
              </w:pPr>
              <w:r>
                <w:rPr>
                  <w:color w:val="000000"/>
                  <w:vertAlign w:val="superscript"/>
                </w:rPr>
                <w:t xml:space="preserve">[103]</w:t>
              </w:r>
              <w:r>
                <w:t xml:space="preserve">    Section 3 of the DVA.</w:t>
              </w:r>
            </w:p>
            <w:p>
              <w:pPr>
                <w:pStyle w:val="BodyText"/>
              </w:pPr>
              <w:r>
                <w:rPr>
                  <w:color w:val="000000"/>
                  <w:vertAlign w:val="superscript"/>
                </w:rPr>
                <w:t xml:space="preserve">[104]</w:t>
              </w:r>
              <w:r>
                <w:t xml:space="preserve">    Section 73 of the CPA.</w:t>
              </w:r>
            </w:p>
            <w:p>
              <w:pPr>
                <w:pStyle w:val="BodyText"/>
              </w:pPr>
              <w:r>
                <w:rPr>
                  <w:color w:val="000000"/>
                  <w:vertAlign w:val="superscript"/>
                </w:rPr>
                <w:t xml:space="preserve">[105]</w:t>
              </w:r>
              <w:r>
                <w:t xml:space="preserve">    Section 5 and 6 of the DVA.</w:t>
              </w:r>
            </w:p>
            <w:p>
              <w:pPr>
                <w:pStyle w:val="BodyText"/>
              </w:pPr>
              <w:r>
                <w:rPr>
                  <w:color w:val="000000"/>
                  <w:vertAlign w:val="superscript"/>
                </w:rPr>
                <w:t xml:space="preserve">[106]</w:t>
              </w:r>
              <w:r>
                <w:t xml:space="preserve">    National Directives and Instructions on conducting a Forensic Examination on survivors of Sexual Offence cases.</w:t>
              </w:r>
            </w:p>
            <w:p>
              <w:pPr>
                <w:pStyle w:val="BodyText"/>
              </w:pPr>
              <w:r>
                <w:rPr>
                  <w:color w:val="000000"/>
                  <w:vertAlign w:val="superscript"/>
                </w:rPr>
                <w:t xml:space="preserve">[107]</w:t>
              </w:r>
              <w:r>
                <w:t xml:space="preserve">    Section 5(2) of the DVA.</w:t>
              </w:r>
            </w:p>
            <w:p>
              <w:pPr>
                <w:pStyle w:val="BodyText"/>
              </w:pPr>
              <w:r>
                <w:rPr>
                  <w:color w:val="000000"/>
                  <w:vertAlign w:val="superscript"/>
                </w:rPr>
                <w:t xml:space="preserve">[108]</w:t>
              </w:r>
              <w:r>
                <w:t xml:space="preserve">    CR Snyman, Criminal Law (South Africa: LexisNexis, 2014), page 102.</w:t>
              </w:r>
            </w:p>
            <w:p>
              <w:pPr>
                <w:pStyle w:val="BodyText"/>
              </w:pPr>
              <w:r>
                <w:rPr>
                  <w:color w:val="000000"/>
                  <w:vertAlign w:val="superscript"/>
                </w:rPr>
                <w:t xml:space="preserve">[109]</w:t>
              </w:r>
              <w:r>
                <w:t xml:space="preserve">    CR Snyman, Criminal Law (South Africa: LexisNexis, 2014), page 114.</w:t>
              </w:r>
            </w:p>
            <w:p>
              <w:pPr>
                <w:pStyle w:val="BodyText"/>
              </w:pPr>
              <w:r>
                <w:rPr>
                  <w:color w:val="000000"/>
                  <w:vertAlign w:val="superscript"/>
                </w:rPr>
                <w:t xml:space="preserve">[110]</w:t>
              </w:r>
              <w:r>
                <w:t xml:space="preserve">    CR Snyman, Criminal Law (South Africa: LexisNexis, 2014), page 122.</w:t>
              </w:r>
            </w:p>
            <w:p>
              <w:pPr>
                <w:pStyle w:val="BodyText"/>
              </w:pPr>
              <w:r>
                <w:rPr>
                  <w:color w:val="000000"/>
                  <w:vertAlign w:val="superscript"/>
                </w:rPr>
                <w:t xml:space="preserve">[111]</w:t>
              </w:r>
              <w:r>
                <w:t xml:space="preserve">    CR Snyman, Criminal Law (South Africa: LexisNexis, 2014), page 127.</w:t>
              </w:r>
            </w:p>
            <w:p>
              <w:pPr>
                <w:pStyle w:val="BodyText"/>
              </w:pPr>
              <w:r>
                <w:rPr>
                  <w:color w:val="000000"/>
                  <w:vertAlign w:val="superscript"/>
                </w:rPr>
                <w:t xml:space="preserve">[112]</w:t>
              </w:r>
              <w:r>
                <w:t xml:space="preserve">    CR Snyman, Criminal Law (South Africa: LexisNexis, 2014), page 127.</w:t>
              </w:r>
            </w:p>
            <w:p>
              <w:pPr>
                <w:pStyle w:val="BodyText"/>
              </w:pPr>
              <w:r>
                <w:rPr>
                  <w:color w:val="000000"/>
                  <w:vertAlign w:val="superscript"/>
                </w:rPr>
                <w:t xml:space="preserve">[113]</w:t>
              </w:r>
              <w:r>
                <w:t xml:space="preserve">    CR Snyman, Criminal Law (South Africa: LexisNexis, 2014), page 128.</w:t>
              </w:r>
            </w:p>
            <w:p>
              <w:pPr>
                <w:pStyle w:val="BodyText"/>
              </w:pPr>
              <w:r>
                <w:rPr>
                  <w:color w:val="000000"/>
                  <w:vertAlign w:val="superscript"/>
                </w:rPr>
                <w:t xml:space="preserve">[114]</w:t>
              </w:r>
              <w:r>
                <w:t xml:space="preserve">    CR Snyman, Criminal Law (South Africa: LexisNexis, 2014), page 139.</w:t>
              </w:r>
            </w:p>
            <w:p>
              <w:pPr>
                <w:pStyle w:val="BodyText"/>
              </w:pPr>
              <w:r>
                <w:rPr>
                  <w:color w:val="000000"/>
                  <w:vertAlign w:val="superscript"/>
                </w:rPr>
                <w:t xml:space="preserve">[115]</w:t>
              </w:r>
              <w:r>
                <w:t xml:space="preserve">    LAWSA, Criminal Law (Volume 11 - Third Edition) at page 84.</w:t>
              </w:r>
            </w:p>
            <w:p>
              <w:pPr>
                <w:pStyle w:val="BodyText"/>
              </w:pPr>
              <w:r>
                <w:rPr>
                  <w:color w:val="000000"/>
                  <w:vertAlign w:val="superscript"/>
                </w:rPr>
                <w:t xml:space="preserve">[116]</w:t>
              </w:r>
              <w:r>
                <w:t xml:space="preserve">    LAWSA, Criminal Law (Volume 11 - Third Edition) at page 84.</w:t>
              </w:r>
            </w:p>
            <w:p>
              <w:pPr>
                <w:pStyle w:val="BodyText"/>
              </w:pPr>
              <w:r>
                <w:rPr>
                  <w:color w:val="000000"/>
                  <w:vertAlign w:val="superscript"/>
                </w:rPr>
                <w:t xml:space="preserve">[117]</w:t>
              </w:r>
              <w:r>
                <w:t xml:space="preserve">    "Intention" is one of the requirements for the various crimes set out in the Criminal Law (Sexual Offences and Related Matters) Amendment Act.</w:t>
              </w:r>
            </w:p>
            <w:p>
              <w:pPr>
                <w:pStyle w:val="BodyText"/>
              </w:pPr>
              <w:r>
                <w:rPr>
                  <w:color w:val="000000"/>
                  <w:vertAlign w:val="superscript"/>
                </w:rPr>
                <w:t xml:space="preserve">[118]</w:t>
              </w:r>
              <w:r>
                <w:t xml:space="preserve">    Section 164 (2) of the CPA.</w:t>
              </w:r>
            </w:p>
            <w:p>
              <w:pPr>
                <w:pStyle w:val="BodyText"/>
              </w:pPr>
              <w:r>
                <w:rPr>
                  <w:color w:val="000000"/>
                  <w:vertAlign w:val="superscript"/>
                </w:rPr>
                <w:t xml:space="preserve">[119]</w:t>
              </w:r>
              <w:r>
                <w:rPr>
                  <w:i/>
                </w:rPr>
                <w:t xml:space="preserve">    K </w:t>
              </w:r>
              <w:r>
                <w:t xml:space="preserve">1958 3 SA 420 (A) 421, 425; </w:t>
              </w:r>
              <w:r>
                <w:rPr>
                  <w:i/>
                </w:rPr>
                <w:t xml:space="preserve">Z </w:t>
              </w:r>
              <w:r>
                <w:t xml:space="preserve">1960 1 SA 739 (A); </w:t>
              </w:r>
              <w:r>
                <w:rPr>
                  <w:i/>
                </w:rPr>
                <w:t xml:space="preserve">D </w:t>
              </w:r>
              <w:r>
                <w:t xml:space="preserve">1963 3 SA 263 (E) 267.</w:t>
              </w:r>
            </w:p>
            <w:p>
              <w:pPr>
                <w:pStyle w:val="BodyText"/>
              </w:pPr>
              <w:r>
                <w:rPr>
                  <w:color w:val="000000"/>
                  <w:vertAlign w:val="superscript"/>
                </w:rPr>
                <w:t xml:space="preserve">[120]</w:t>
              </w:r>
              <w:r>
                <w:t xml:space="preserve">    Sikunyana</w:t>
              </w:r>
              <w:r>
                <w:rPr>
                  <w:i/>
                </w:rPr>
                <w:t xml:space="preserve"> </w:t>
              </w:r>
              <w:r>
                <w:t xml:space="preserve">1961 3 SA 549 (E) 551; </w:t>
              </w:r>
              <w:r>
                <w:rPr>
                  <w:i/>
                </w:rPr>
                <w:t xml:space="preserve">D </w:t>
              </w:r>
              <w:r>
                <w:t xml:space="preserve">1998 1 SACR 33 (T).</w:t>
              </w:r>
            </w:p>
            <w:p>
              <w:pPr>
                <w:pStyle w:val="BodyText"/>
              </w:pPr>
              <w:r>
                <w:rPr>
                  <w:color w:val="000000"/>
                  <w:vertAlign w:val="superscript"/>
                </w:rPr>
                <w:t xml:space="preserve">[121]</w:t>
              </w:r>
              <w:r>
                <w:t xml:space="preserve">    On necessity, see </w:t>
              </w:r>
              <w:r>
                <w:rPr>
                  <w:i/>
                </w:rPr>
                <w:t xml:space="preserve">supra </w:t>
              </w:r>
              <w:r>
                <w:t xml:space="preserve">IV C and on presumed consent </w:t>
              </w:r>
              <w:r>
                <w:rPr>
                  <w:i/>
                </w:rPr>
                <w:t xml:space="preserve">infra </w:t>
              </w:r>
              <w:r>
                <w:t xml:space="preserve">IV E.</w:t>
              </w:r>
            </w:p>
            <w:p>
              <w:pPr>
                <w:pStyle w:val="BodyText"/>
              </w:pPr>
              <w:r>
                <w:rPr>
                  <w:color w:val="000000"/>
                  <w:vertAlign w:val="superscript"/>
                </w:rPr>
                <w:t xml:space="preserve">[122]</w:t>
              </w:r>
              <w:r>
                <w:t xml:space="preserve">    Strauss 1964 SALJ</w:t>
              </w:r>
              <w:r>
                <w:rPr>
                  <w:i/>
                </w:rPr>
                <w:t xml:space="preserve"> </w:t>
              </w:r>
              <w:r>
                <w:t xml:space="preserve">179 183, 187.</w:t>
              </w:r>
            </w:p>
            <w:p>
              <w:pPr>
                <w:pStyle w:val="BodyText"/>
              </w:pPr>
              <w:r>
                <w:rPr>
                  <w:color w:val="000000"/>
                  <w:vertAlign w:val="superscript"/>
                </w:rPr>
                <w:t xml:space="preserve">[123]</w:t>
              </w:r>
              <w:r>
                <w:t xml:space="preserve">    Criminal Law (Sexual Offences and Related Matters) Amendment Act.</w:t>
              </w:r>
            </w:p>
            <w:p>
              <w:pPr>
                <w:pStyle w:val="BodyText"/>
              </w:pPr>
              <w:r>
                <w:rPr>
                  <w:color w:val="000000"/>
                  <w:vertAlign w:val="superscript"/>
                </w:rPr>
                <w:t xml:space="preserve">[124]</w:t>
              </w:r>
              <w:r>
                <w:t xml:space="preserve">    Matsemela</w:t>
              </w:r>
              <w:r>
                <w:rPr>
                  <w:i/>
                </w:rPr>
                <w:t xml:space="preserve"> </w:t>
              </w:r>
              <w:r>
                <w:t xml:space="preserve">1988 2 SA 254 (T); D</w:t>
              </w:r>
              <w:r>
                <w:rPr>
                  <w:i/>
                </w:rPr>
                <w:t xml:space="preserve"> </w:t>
              </w:r>
              <w:r>
                <w:t xml:space="preserve">1998 1 SACR 33 (T) 39</w:t>
              </w:r>
              <w:r>
                <w:rPr>
                  <w:i/>
                </w:rPr>
                <w:t xml:space="preserve">d–e</w:t>
              </w:r>
              <w:r>
                <w:t xml:space="preserve">.</w:t>
              </w:r>
            </w:p>
            <w:p>
              <w:pPr>
                <w:pStyle w:val="BodyText"/>
              </w:pPr>
              <w:r>
                <w:rPr>
                  <w:color w:val="000000"/>
                  <w:vertAlign w:val="superscript"/>
                </w:rPr>
                <w:t xml:space="preserve">[125]</w:t>
              </w:r>
              <w:r>
                <w:t xml:space="preserve">    "What is consent?" Buyi Nkoyane, </w:t>
              </w:r>
              <w:hyperlink w:history="true" r:id="Rc487acb536c847b6">
                <w:r>
                  <w:rPr>
                    <w:rStyle w:val="Hyperlink"/>
                  </w:rPr>
                  <w:t xml:space="preserve">https://www.up.ac.za/speakoutup/article/2383078/what-is-consent</w:t>
                </w:r>
              </w:hyperlink>
            </w:p>
            <w:p>
              <w:pPr>
                <w:pStyle w:val="BodyText"/>
              </w:pPr>
              <w:r>
                <w:rPr>
                  <w:color w:val="000000"/>
                  <w:vertAlign w:val="superscript"/>
                </w:rPr>
                <w:t xml:space="preserve">[126]</w:t>
              </w:r>
              <w:r>
                <w:t xml:space="preserve">    CR Snyman, Criminal Law (South Africa: LexisNexis, 2014), page 103-111.</w:t>
              </w:r>
            </w:p>
            <w:p>
              <w:pPr>
                <w:pStyle w:val="BodyText"/>
              </w:pPr>
              <w:r>
                <w:rPr>
                  <w:color w:val="000000"/>
                  <w:vertAlign w:val="superscript"/>
                </w:rPr>
                <w:t xml:space="preserve">[127]</w:t>
              </w:r>
              <w:r>
                <w:t xml:space="preserve">    Sections 77 to Sections 79 of the CPA.</w:t>
              </w:r>
            </w:p>
            <w:p>
              <w:pPr>
                <w:pStyle w:val="BodyText"/>
              </w:pPr>
              <w:r>
                <w:rPr>
                  <w:color w:val="000000"/>
                  <w:vertAlign w:val="superscript"/>
                </w:rPr>
                <w:t xml:space="preserve">[128]</w:t>
              </w:r>
              <w:r>
                <w:t xml:space="preserve">    Section 162 of the CPA.</w:t>
              </w:r>
            </w:p>
            <w:p>
              <w:pPr>
                <w:pStyle w:val="BodyText"/>
              </w:pPr>
              <w:r>
                <w:rPr>
                  <w:color w:val="000000"/>
                  <w:vertAlign w:val="superscript"/>
                </w:rPr>
                <w:t xml:space="preserve">[129]</w:t>
              </w:r>
              <w:r>
                <w:t xml:space="preserve">    Section 164 of the CPA.</w:t>
              </w:r>
            </w:p>
            <w:p>
              <w:pPr>
                <w:pStyle w:val="BodyText"/>
              </w:pPr>
              <w:r>
                <w:rPr>
                  <w:color w:val="000000"/>
                  <w:vertAlign w:val="superscript"/>
                </w:rPr>
                <w:t xml:space="preserve">[130]</w:t>
              </w:r>
              <w:r>
                <w:t xml:space="preserve">    Section 163 of the CPA.</w:t>
              </w:r>
            </w:p>
            <w:p>
              <w:pPr>
                <w:pStyle w:val="BodyText"/>
              </w:pPr>
              <w:r>
                <w:rPr>
                  <w:color w:val="000000"/>
                  <w:vertAlign w:val="superscript"/>
                </w:rPr>
                <w:t xml:space="preserve">[131]</w:t>
              </w:r>
              <w:r>
                <w:t xml:space="preserve">    (656/12) [2013] ZASCA 124; 2014 (1) SACR 29 (SCA); [2014] 2 All SA 141 (SCA) (23 September 2013).</w:t>
              </w:r>
            </w:p>
            <w:p>
              <w:pPr>
                <w:pStyle w:val="BodyText"/>
              </w:pPr>
              <w:r>
                <w:rPr>
                  <w:color w:val="000000"/>
                  <w:vertAlign w:val="superscript"/>
                </w:rPr>
                <w:t xml:space="preserve">[132]</w:t>
              </w:r>
              <w:r>
                <w:t xml:space="preserve">    Section 203 of the CPA</w:t>
              </w:r>
            </w:p>
            <w:p>
              <w:pPr>
                <w:pStyle w:val="BodyText"/>
              </w:pPr>
              <w:r>
                <w:rPr>
                  <w:color w:val="000000"/>
                  <w:vertAlign w:val="superscript"/>
                </w:rPr>
                <w:t xml:space="preserve">[133]</w:t>
              </w:r>
              <w:r>
                <w:t xml:space="preserve">    Section 195 of the CPA</w:t>
              </w:r>
            </w:p>
            <w:p>
              <w:pPr>
                <w:pStyle w:val="BodyText"/>
              </w:pPr>
              <w:r>
                <w:rPr>
                  <w:color w:val="000000"/>
                  <w:vertAlign w:val="superscript"/>
                </w:rPr>
                <w:t xml:space="preserve">[134]</w:t>
              </w:r>
              <w:r>
                <w:t xml:space="preserve">    Section 201 of the CPA</w:t>
              </w:r>
            </w:p>
            <w:p>
              <w:pPr>
                <w:pStyle w:val="BodyText"/>
              </w:pPr>
              <w:r>
                <w:rPr>
                  <w:color w:val="000000"/>
                  <w:vertAlign w:val="superscript"/>
                </w:rPr>
                <w:t xml:space="preserve">[135]</w:t>
              </w:r>
              <w:r>
                <w:t xml:space="preserve">    Section 203, 195 and 201 of the CPA.</w:t>
              </w:r>
            </w:p>
            <w:p>
              <w:pPr>
                <w:pStyle w:val="BodyText"/>
              </w:pPr>
              <w:r>
                <w:rPr>
                  <w:color w:val="000000"/>
                  <w:vertAlign w:val="superscript"/>
                </w:rPr>
                <w:t xml:space="preserve">[136]</w:t>
              </w:r>
              <w:r>
                <w:t xml:space="preserve">    Section 192 of the CPA.</w:t>
              </w:r>
            </w:p>
            <w:p>
              <w:pPr>
                <w:pStyle w:val="BodyText"/>
              </w:pPr>
              <w:r>
                <w:rPr>
                  <w:color w:val="000000"/>
                  <w:vertAlign w:val="superscript"/>
                </w:rPr>
                <w:t xml:space="preserve">[137]</w:t>
              </w:r>
              <w:r>
                <w:rPr>
                  <w:i/>
                </w:rPr>
                <w:t xml:space="preserve">    Matshiva v S </w:t>
              </w:r>
              <w:r>
                <w:t xml:space="preserve">2014 (1) SACR 29 (SCA).</w:t>
              </w:r>
            </w:p>
            <w:p>
              <w:pPr>
                <w:pStyle w:val="BodyText"/>
              </w:pPr>
              <w:r>
                <w:rPr>
                  <w:color w:val="000000"/>
                  <w:vertAlign w:val="superscript"/>
                </w:rPr>
                <w:t xml:space="preserve">[138]</w:t>
              </w:r>
              <w:r>
                <w:t xml:space="preserve">    Section 305(3) of the Children's Act.</w:t>
              </w:r>
            </w:p>
            <w:p>
              <w:pPr>
                <w:pStyle w:val="BodyText"/>
              </w:pPr>
              <w:r>
                <w:rPr>
                  <w:color w:val="000000"/>
                  <w:vertAlign w:val="superscript"/>
                </w:rPr>
                <w:t xml:space="preserve">[139]</w:t>
              </w:r>
              <w:r>
                <w:t xml:space="preserve">    Section 305(6) of the Children's Act.</w:t>
              </w:r>
            </w:p>
            <w:p>
              <w:pPr>
                <w:pStyle w:val="BodyText"/>
              </w:pPr>
              <w:r>
                <w:rPr>
                  <w:color w:val="000000"/>
                  <w:vertAlign w:val="subscript"/>
                </w:rPr>
                <w:t xml:space="preserve">[140]</w:t>
              </w:r>
              <w:r>
                <w:t xml:space="preserve">    Section 305(7) of the Children's Act.</w:t>
              </w:r>
            </w:p>
            <w:p>
              <w:pPr>
                <w:pStyle w:val="BodyText"/>
              </w:pPr>
              <w:r>
                <w:rPr>
                  <w:color w:val="000000"/>
                  <w:vertAlign w:val="superscript"/>
                </w:rPr>
                <w:t xml:space="preserve">[141]</w:t>
              </w:r>
              <w:r>
                <w:t xml:space="preserve">    Section 110 of the Children's Act.</w:t>
              </w:r>
            </w:p>
            <w:p>
              <w:pPr>
                <w:pStyle w:val="BodyText"/>
              </w:pPr>
              <w:r>
                <w:rPr>
                  <w:color w:val="000000"/>
                  <w:vertAlign w:val="superscript"/>
                </w:rPr>
                <w:t xml:space="preserve">[142]</w:t>
              </w:r>
              <w:r>
                <w:t xml:space="preserve">    Section 283 of the CPA.</w:t>
              </w:r>
            </w:p>
            <w:p>
              <w:pPr>
                <w:pStyle w:val="BodyText"/>
              </w:pPr>
              <w:r>
                <w:rPr>
                  <w:color w:val="000000"/>
                  <w:vertAlign w:val="superscript"/>
                </w:rPr>
                <w:t xml:space="preserve">[143]</w:t>
              </w:r>
              <w:r>
                <w:t xml:space="preserve">    196 (2)SA 537(A) at 540 G.</w:t>
              </w:r>
            </w:p>
            <w:p>
              <w:pPr>
                <w:pStyle w:val="BodyText"/>
              </w:pPr>
              <w:r>
                <w:rPr>
                  <w:color w:val="000000"/>
                  <w:vertAlign w:val="superscript"/>
                </w:rPr>
                <w:t xml:space="preserve">[144]</w:t>
              </w:r>
              <w:r>
                <w:t xml:space="preserve">    Section 51 of the Criminal Law Amendment Act.</w:t>
              </w:r>
            </w:p>
            <w:p>
              <w:pPr>
                <w:pStyle w:val="BodyText"/>
              </w:pPr>
              <w:r>
                <w:rPr>
                  <w:color w:val="000000"/>
                  <w:vertAlign w:val="superscript"/>
                </w:rPr>
                <w:t xml:space="preserve">[145]</w:t>
              </w:r>
              <w:r>
                <w:t xml:space="preserve">    Section 51 of the Criminal Law Amendment Act.</w:t>
              </w:r>
            </w:p>
            <w:p>
              <w:pPr>
                <w:pStyle w:val="BodyText"/>
              </w:pPr>
              <w:r>
                <w:rPr>
                  <w:color w:val="000000"/>
                  <w:vertAlign w:val="superscript"/>
                </w:rPr>
                <w:t xml:space="preserve">[146]</w:t>
              </w:r>
              <w:r>
                <w:rPr>
                  <w:i/>
                </w:rPr>
                <w:t xml:space="preserve">    Omar v Government of the Republic of South Africa and Others</w:t>
              </w:r>
              <w:r>
                <w:t xml:space="preserve"> (2005) ZACC 17; 2006 (2) SA 289 (CC).</w:t>
              </w:r>
            </w:p>
            <w:p>
              <w:pPr>
                <w:pStyle w:val="BodyText"/>
              </w:pPr>
              <w:r>
                <w:rPr>
                  <w:color w:val="000000"/>
                  <w:vertAlign w:val="superscript"/>
                </w:rPr>
                <w:t xml:space="preserve">[147]</w:t>
              </w:r>
              <w:r>
                <w:t xml:space="preserve">    Section 17 of the DVA.</w:t>
              </w:r>
            </w:p>
            <w:p>
              <w:pPr>
                <w:pStyle w:val="BodyText"/>
              </w:pPr>
              <w:r>
                <w:rPr>
                  <w:color w:val="000000"/>
                  <w:vertAlign w:val="superscript"/>
                </w:rPr>
                <w:t xml:space="preserve">[148]</w:t>
              </w:r>
              <w:r>
                <w:t xml:space="preserve">    Section 17 of the CPA.</w:t>
              </w:r>
            </w:p>
            <w:p>
              <w:pPr>
                <w:pStyle w:val="BodyText"/>
              </w:pPr>
              <w:r>
                <w:rPr>
                  <w:color w:val="000000"/>
                  <w:vertAlign w:val="superscript"/>
                </w:rPr>
                <w:t xml:space="preserve">[149]</w:t>
              </w:r>
              <w:r>
                <w:t xml:space="preserve">    Section 7 of the DVA.</w:t>
              </w:r>
            </w:p>
            <w:p>
              <w:pPr>
                <w:pStyle w:val="BodyText"/>
              </w:pPr>
              <w:r>
                <w:rPr>
                  <w:color w:val="000000"/>
                  <w:vertAlign w:val="superscript"/>
                </w:rPr>
                <w:t xml:space="preserve">[150]</w:t>
              </w:r>
              <w:r>
                <w:t xml:space="preserve">    Section 50 of the Criminal Law (Sexual Offences and Related Matters) Amendments Act.</w:t>
              </w:r>
            </w:p>
            <w:p>
              <w:pPr>
                <w:pStyle w:val="BodyText"/>
              </w:pPr>
              <w:r>
                <w:rPr>
                  <w:color w:val="000000"/>
                  <w:vertAlign w:val="superscript"/>
                </w:rPr>
                <w:t xml:space="preserve">[151]</w:t>
              </w:r>
              <w:r>
                <w:t xml:space="preserve">    Section 276 of the CPA.</w:t>
              </w:r>
            </w:p>
            <w:p>
              <w:pPr>
                <w:pStyle w:val="BodyText"/>
              </w:pPr>
              <w:r>
                <w:rPr>
                  <w:color w:val="000000"/>
                  <w:vertAlign w:val="superscript"/>
                </w:rPr>
                <w:t xml:space="preserve">[152]</w:t>
              </w:r>
              <w:r>
                <w:t xml:space="preserve">    Section 296 of the CPA.</w:t>
              </w:r>
            </w:p>
            <w:p>
              <w:pPr>
                <w:pStyle w:val="BodyText"/>
              </w:pPr>
              <w:r>
                <w:rPr>
                  <w:color w:val="000000"/>
                  <w:vertAlign w:val="superscript"/>
                </w:rPr>
                <w:t xml:space="preserve">[153]</w:t>
              </w:r>
              <w:r>
                <w:t xml:space="preserve">    Section 276 of the CPA.</w:t>
              </w:r>
            </w:p>
            <w:p>
              <w:pPr>
                <w:pStyle w:val="BodyText"/>
              </w:pPr>
              <w:r>
                <w:rPr>
                  <w:color w:val="000000"/>
                  <w:vertAlign w:val="superscript"/>
                </w:rPr>
                <w:t xml:space="preserve">[154]</w:t>
              </w:r>
              <w:r>
                <w:t xml:space="preserve">    (GA/RES/40/34)</w:t>
              </w:r>
            </w:p>
            <w:p>
              <w:pPr>
                <w:pStyle w:val="BodyText"/>
              </w:pPr>
              <w:r>
                <w:rPr>
                  <w:color w:val="000000"/>
                  <w:vertAlign w:val="superscript"/>
                </w:rPr>
                <w:t xml:space="preserve">[155]</w:t>
              </w:r>
              <w:r>
                <w:t xml:space="preserve">    </w:t>
              </w:r>
              <w:hyperlink w:history="true" r:id="Rfd53d370a3d443bd">
                <w:r>
                  <w:rPr>
                    <w:rStyle w:val="Hyperlink"/>
                    <w:color w:val="000000"/>
                  </w:rPr>
                  <w:t xml:space="preserve">The Service Charter for Victims in South Africa</w:t>
                </w:r>
              </w:hyperlink>
              <w:r>
                <w:t xml:space="preserve">.</w:t>
              </w:r>
            </w:p>
            <w:p>
              <w:pPr>
                <w:pStyle w:val="BodyText"/>
              </w:pPr>
              <w:r>
                <w:rPr>
                  <w:color w:val="000000"/>
                  <w:vertAlign w:val="superscript"/>
                </w:rPr>
                <w:t xml:space="preserve">[156]</w:t>
              </w:r>
              <w:r>
                <w:rPr>
                  <w:i/>
                </w:rPr>
                <w:t xml:space="preserve">    S v Ferreira and Others</w:t>
              </w:r>
              <w:r>
                <w:t xml:space="preserve"> [2004] 4 All SA 373 (SCA) (1 April 2004).</w:t>
              </w:r>
            </w:p>
            <w:p>
              <w:pPr>
                <w:pStyle w:val="BodyText"/>
              </w:pPr>
              <w:r>
                <w:rPr>
                  <w:color w:val="000000"/>
                  <w:vertAlign w:val="superscript"/>
                </w:rPr>
                <w:t xml:space="preserve">[157]</w:t>
              </w:r>
              <w:r>
                <w:rPr>
                  <w:i/>
                </w:rPr>
                <w:t xml:space="preserve">    S v Ferreira and Others</w:t>
              </w:r>
              <w:r>
                <w:t xml:space="preserve">.</w:t>
              </w:r>
            </w:p>
            <w:p>
              <w:pPr>
                <w:pStyle w:val="BodyText"/>
              </w:pPr>
              <w:r>
                <w:rPr>
                  <w:color w:val="000000"/>
                  <w:vertAlign w:val="superscript"/>
                </w:rPr>
                <w:t xml:space="preserve">[158]</w:t>
              </w:r>
              <w:r>
                <w:t xml:space="preserve">    (245/03) [2004] ZASCA 29; [2004] 4 All SA 373 (SCA) (1 April 2004).</w:t>
              </w:r>
            </w:p>
            <w:p>
              <w:pPr>
                <w:pStyle w:val="BodyText"/>
              </w:pPr>
              <w:r>
                <w:rPr>
                  <w:color w:val="000000"/>
                  <w:vertAlign w:val="superscript"/>
                </w:rPr>
                <w:t xml:space="preserve">[159]</w:t>
              </w:r>
              <w:r>
                <w:rPr>
                  <w:i/>
                </w:rPr>
                <w:t xml:space="preserve">    S v Ferreira and Others</w:t>
              </w:r>
              <w:r>
                <w:t xml:space="preserve">.</w:t>
              </w:r>
            </w:p>
            <w:p>
              <w:pPr>
                <w:pStyle w:val="BodyText"/>
              </w:pPr>
              <w:r>
                <w:rPr>
                  <w:color w:val="000000"/>
                  <w:vertAlign w:val="superscript"/>
                </w:rPr>
                <w:t xml:space="preserve">[160]</w:t>
              </w:r>
              <w:r>
                <w:rPr>
                  <w:i/>
                </w:rPr>
                <w:t xml:space="preserve">    S v Ferreira and Others</w:t>
              </w:r>
              <w:r>
                <w:t xml:space="preserve">.</w:t>
              </w:r>
            </w:p>
            <w:p>
              <w:pPr>
                <w:pStyle w:val="BodyText"/>
              </w:pPr>
              <w:r>
                <w:rPr>
                  <w:color w:val="000000"/>
                  <w:vertAlign w:val="superscript"/>
                </w:rPr>
                <w:t xml:space="preserve">[161]</w:t>
              </w:r>
              <w:r>
                <w:t xml:space="preserve">    Definition of "complainant" in terms of the DVA, 116 of 1998.</w:t>
              </w:r>
            </w:p>
            <w:p>
              <w:pPr>
                <w:pStyle w:val="BodyText"/>
              </w:pPr>
              <w:r>
                <w:rPr>
                  <w:color w:val="000000"/>
                  <w:vertAlign w:val="superscript"/>
                </w:rPr>
                <w:t xml:space="preserve">[162]</w:t>
              </w:r>
              <w:r>
                <w:t xml:space="preserve">    Definition of "domestic violence" under the DVA, 116 of 1998.</w:t>
              </w:r>
            </w:p>
            <w:p>
              <w:pPr>
                <w:pStyle w:val="BodyText"/>
              </w:pPr>
              <w:r>
                <w:rPr>
                  <w:color w:val="000000"/>
                  <w:vertAlign w:val="superscript"/>
                </w:rPr>
                <w:t xml:space="preserve">[163]</w:t>
              </w:r>
              <w:r>
                <w:t xml:space="preserve">    To access the </w:t>
              </w:r>
              <w:r>
                <w:t xml:space="preserve">Code of Good Practice: Handling of Sexual Harassment Cases in Workplaces, please click </w:t>
              </w:r>
              <w:hyperlink w:history="true" r:id="R101b5b1916944251">
                <w:r>
                  <w:rPr>
                    <w:rStyle w:val="Hyperlink"/>
                    <w:color w:val="000000"/>
                  </w:rPr>
                  <w:t xml:space="preserve">here</w:t>
                </w:r>
              </w:hyperlink>
              <w:r>
                <w:t xml:space="preserve">.</w:t>
              </w:r>
            </w:p>
            <w:p>
              <w:pPr>
                <w:pStyle w:val="BodyText"/>
              </w:pPr>
              <w:r>
                <w:rPr>
                  <w:color w:val="000000"/>
                  <w:vertAlign w:val="superscript"/>
                </w:rPr>
                <w:t xml:space="preserve">[164]</w:t>
              </w:r>
              <w:r>
                <w:t xml:space="preserve">    Definition of "complainant" under the </w:t>
              </w:r>
              <w:r>
                <w:t xml:space="preserve">PFH Act</w:t>
              </w:r>
              <w:r>
                <w:t xml:space="preserve">.</w:t>
              </w:r>
            </w:p>
            <w:p>
              <w:pPr>
                <w:pStyle w:val="BodyText"/>
              </w:pPr>
              <w:r>
                <w:rPr>
                  <w:color w:val="000000"/>
                  <w:vertAlign w:val="superscript"/>
                </w:rPr>
                <w:t xml:space="preserve">[165]</w:t>
              </w:r>
              <w:r>
                <w:t xml:space="preserve">    Section 10(1) of the PFH Act.</w:t>
              </w:r>
            </w:p>
            <w:p>
              <w:pPr>
                <w:pStyle w:val="BodyText"/>
              </w:pPr>
              <w:r>
                <w:rPr>
                  <w:color w:val="000000"/>
                  <w:vertAlign w:val="superscript"/>
                </w:rPr>
                <w:t xml:space="preserve">[166]</w:t>
              </w:r>
              <w:r>
                <w:t xml:space="preserve">    Section 10(2) of the PFH Act.</w:t>
              </w:r>
            </w:p>
            <w:p>
              <w:pPr>
                <w:pStyle w:val="BodyText"/>
              </w:pPr>
              <w:r>
                <w:rPr>
                  <w:color w:val="000000"/>
                  <w:vertAlign w:val="superscript"/>
                </w:rPr>
                <w:t xml:space="preserve">[167]</w:t>
              </w:r>
              <w:r>
                <w:t xml:space="preserve">    Section 10(3) of the PFH Act.</w:t>
              </w:r>
            </w:p>
            <w:p>
              <w:pPr>
                <w:pStyle w:val="BodyText"/>
              </w:pPr>
              <w:r>
                <w:rPr>
                  <w:color w:val="000000"/>
                  <w:vertAlign w:val="superscript"/>
                </w:rPr>
                <w:t xml:space="preserve">[168]</w:t>
              </w:r>
              <w:r>
                <w:t xml:space="preserve">    Section 2(2) of Schedule 8: Code of Good Practice: Dismissal of the Labour Relations Act, 66 of 1995.</w:t>
              </w:r>
            </w:p>
            <w:p>
              <w:pPr>
                <w:pStyle w:val="BodyText"/>
              </w:pPr>
              <w:r>
                <w:rPr>
                  <w:color w:val="000000"/>
                  <w:vertAlign w:val="superscript"/>
                </w:rPr>
                <w:t xml:space="preserve">[169]</w:t>
              </w:r>
              <w:r>
                <w:t xml:space="preserve">    Section 2(4) of Schedule 8: Code of Good Practice: Dismissal of the Labour Relations Act, 66 of 1995.</w:t>
              </w:r>
            </w:p>
            <w:p>
              <w:pPr>
                <w:pStyle w:val="BodyText"/>
              </w:pPr>
              <w:r>
                <w:rPr>
                  <w:color w:val="000000"/>
                  <w:vertAlign w:val="superscript"/>
                </w:rPr>
                <w:t xml:space="preserve">[170]</w:t>
              </w:r>
              <w:r>
                <w:t xml:space="preserve">    Section 7(a) of Schedule 8: Code of Good Practice: Dismissal of the Labour Relations Act, 66 of 1995.</w:t>
              </w:r>
            </w:p>
            <w:p>
              <w:pPr>
                <w:pStyle w:val="BodyText"/>
              </w:pPr>
              <w:r>
                <w:rPr>
                  <w:color w:val="000000"/>
                  <w:vertAlign w:val="superscript"/>
                </w:rPr>
                <w:t xml:space="preserve">[171]</w:t>
              </w:r>
              <w:r>
                <w:t xml:space="preserve">    Section 7(b) of Schedule 8: Code of Good Practice: Dismissal of the Labour Relations Act, 66 of 1995.</w:t>
              </w:r>
            </w:p>
            <w:p>
              <w:pPr>
                <w:pStyle w:val="BodyText"/>
              </w:pPr>
              <w:r>
                <w:rPr>
                  <w:color w:val="000000"/>
                  <w:vertAlign w:val="superscript"/>
                </w:rPr>
                <w:t xml:space="preserve">[172]</w:t>
              </w:r>
              <w:r>
                <w:t xml:space="preserve">    Section 20 of the Basic Conditions of Employment Act 75 of 1997.</w:t>
              </w:r>
            </w:p>
            <w:p>
              <w:pPr>
                <w:pStyle w:val="BodyText"/>
              </w:pPr>
              <w:r>
                <w:rPr>
                  <w:color w:val="000000"/>
                  <w:vertAlign w:val="superscript"/>
                </w:rPr>
                <w:t xml:space="preserve">[173]</w:t>
              </w:r>
              <w:r>
                <w:t xml:space="preserve">    Section 27 of the Basic Conditions of Employment Act 75 of 1997.</w:t>
              </w:r>
            </w:p>
            <w:p>
              <w:pPr>
                <w:pStyle w:val="BodyText"/>
              </w:pPr>
              <w:r>
                <w:rPr>
                  <w:color w:val="000000"/>
                  <w:vertAlign w:val="superscript"/>
                </w:rPr>
                <w:t xml:space="preserve">[174]</w:t>
              </w:r>
              <w:r>
                <w:t xml:space="preserve">    Article 10(f) of the International Labour Organization's Convention on Violence and Harassment.</w:t>
              </w:r>
            </w:p>
            <w:p>
              <w:pPr>
                <w:pStyle w:val="BodyText"/>
              </w:pPr>
              <w:r>
                <w:rPr>
                  <w:color w:val="000000"/>
                  <w:vertAlign w:val="superscript"/>
                </w:rPr>
                <w:t xml:space="preserve">[175]</w:t>
              </w:r>
              <w:r>
                <w:t xml:space="preserve">    130 of 1998.</w:t>
              </w:r>
            </w:p>
            <w:p>
              <w:pPr>
                <w:pStyle w:val="BodyText"/>
              </w:pPr>
              <w:r>
                <w:rPr>
                  <w:color w:val="000000"/>
                  <w:vertAlign w:val="superscript"/>
                </w:rPr>
                <w:t xml:space="preserve">[176]</w:t>
              </w:r>
              <w:r>
                <w:t xml:space="preserve">    Section 4 of the Refugees Act 130 of 1998.</w:t>
              </w:r>
            </w:p>
            <w:p>
              <w:pPr>
                <w:pStyle w:val="BodyText"/>
              </w:pPr>
              <w:r>
                <w:rPr>
                  <w:color w:val="000000"/>
                  <w:vertAlign w:val="superscript"/>
                </w:rPr>
                <w:t xml:space="preserve">[177]</w:t>
              </w:r>
              <w:r>
                <w:t xml:space="preserve">    Criminal Law Amendment Act.</w:t>
              </w:r>
            </w:p>
            <w:p>
              <w:pPr>
                <w:pStyle w:val="BodyText"/>
              </w:pPr>
              <w:r>
                <w:rPr>
                  <w:color w:val="000000"/>
                  <w:vertAlign w:val="superscript"/>
                </w:rPr>
                <w:t xml:space="preserve">[178]</w:t>
              </w:r>
              <w:r>
                <w:t xml:space="preserve">    Refugee Act 130 of 1998.</w:t>
              </w:r>
            </w:p>
            <w:p>
              <w:pPr>
                <w:pStyle w:val="BodyText"/>
              </w:pPr>
              <w:r>
                <w:rPr>
                  <w:color w:val="000000"/>
                  <w:vertAlign w:val="superscript"/>
                </w:rPr>
                <w:t xml:space="preserve">[179]</w:t>
              </w:r>
              <w:r>
                <w:t xml:space="preserve">    Military Discipline Bill.</w:t>
              </w:r>
            </w:p>
            <w:p>
              <w:pPr>
                <w:pStyle w:val="BodyText"/>
              </w:pPr>
              <w:r>
                <w:rPr>
                  <w:color w:val="000000"/>
                  <w:vertAlign w:val="superscript"/>
                </w:rPr>
                <w:t xml:space="preserve">[180]</w:t>
              </w:r>
              <w:r>
                <w:t xml:space="preserve">    National Prosecuting Authority Act 32 of 1998.</w:t>
              </w:r>
            </w:p>
            <w:p>
              <w:pPr>
                <w:pStyle w:val="BodyText"/>
              </w:pPr>
              <w:r>
                <w:rPr>
                  <w:color w:val="000000"/>
                  <w:vertAlign w:val="superscript"/>
                </w:rPr>
                <w:t xml:space="preserve">[181]</w:t>
              </w:r>
              <w:r>
                <w:t xml:space="preserve">    Section 1(2) of the Children's Act, 2005.</w:t>
              </w:r>
            </w:p>
            <w:p>
              <w:pPr>
                <w:pStyle w:val="BodyText"/>
              </w:pPr>
              <w:r>
                <w:rPr>
                  <w:color w:val="000000"/>
                  <w:vertAlign w:val="superscript"/>
                </w:rPr>
                <w:t xml:space="preserve">[182]</w:t>
              </w:r>
              <w:r>
                <w:t xml:space="preserve">    Section 1(3) of the English Children Act, 1989 and Sections 60CC(2) and (3) of the Australian Family Law Act, 1975.</w:t>
              </w:r>
            </w:p>
            <w:p>
              <w:pPr>
                <w:pStyle w:val="BodyText"/>
              </w:pPr>
              <w:r>
                <w:rPr>
                  <w:color w:val="000000"/>
                  <w:vertAlign w:val="superscript"/>
                </w:rPr>
                <w:t xml:space="preserve">[183]</w:t>
              </w:r>
              <w:r>
                <w:t xml:space="preserve">    Section 9 of the Children's Act.</w:t>
              </w:r>
            </w:p>
            <w:p>
              <w:pPr>
                <w:pStyle w:val="BodyText"/>
              </w:pPr>
              <w:r>
                <w:rPr>
                  <w:color w:val="000000"/>
                  <w:vertAlign w:val="superscript"/>
                </w:rPr>
                <w:t xml:space="preserve">[184]</w:t>
              </w:r>
              <w:r>
                <w:t xml:space="preserve">    Section 7(1)(l) of the Children's Act.</w:t>
              </w:r>
            </w:p>
            <w:p>
              <w:pPr>
                <w:pStyle w:val="BodyText"/>
              </w:pPr>
              <w:r>
                <w:rPr>
                  <w:color w:val="000000"/>
                  <w:vertAlign w:val="superscript"/>
                </w:rPr>
                <w:t xml:space="preserve">[185]</w:t>
              </w:r>
              <w:r>
                <w:rPr>
                  <w:i/>
                </w:rPr>
                <w:t xml:space="preserve">    P v P 2</w:t>
              </w:r>
              <w:r>
                <w:t xml:space="preserve">007 (5) SA 94 (SCA) at paragraph 14.</w:t>
              </w:r>
            </w:p>
            <w:p>
              <w:pPr>
                <w:pStyle w:val="BodyText"/>
              </w:pPr>
              <w:r>
                <w:rPr>
                  <w:color w:val="000000"/>
                  <w:vertAlign w:val="superscript"/>
                </w:rPr>
                <w:t xml:space="preserve">[186]</w:t>
              </w:r>
              <w:r>
                <w:t xml:space="preserve">    Section 7 of the Children's Act.</w:t>
              </w:r>
            </w:p>
            <w:p>
              <w:pPr>
                <w:pStyle w:val="BodyText"/>
              </w:pPr>
              <w:r>
                <w:rPr>
                  <w:color w:val="000000"/>
                  <w:vertAlign w:val="superscript"/>
                </w:rPr>
                <w:t xml:space="preserve">[187]</w:t>
              </w:r>
              <w:r>
                <w:t xml:space="preserve">    Section 7(1)(g) of the DVA.</w:t>
              </w:r>
            </w:p>
            <w:p>
              <w:pPr>
                <w:pStyle w:val="BodyText"/>
              </w:pPr>
              <w:r>
                <w:rPr>
                  <w:color w:val="000000"/>
                  <w:vertAlign w:val="superscript"/>
                </w:rPr>
                <w:t xml:space="preserve">[188]</w:t>
              </w:r>
              <w:r>
                <w:t xml:space="preserve">    Section 7(1)(l) of the Children's Act, 2005.</w:t>
              </w:r>
            </w:p>
            <w:p>
              <w:pPr>
                <w:pStyle w:val="BodyText"/>
              </w:pPr>
              <w:r>
                <w:rPr>
                  <w:color w:val="000000"/>
                  <w:vertAlign w:val="superscript"/>
                </w:rPr>
                <w:t xml:space="preserve">[189]</w:t>
              </w:r>
              <w:r>
                <w:t xml:space="preserve">    Section 7(6) of the DVA, 1998.</w:t>
              </w:r>
            </w:p>
            <w:p>
              <w:pPr>
                <w:pStyle w:val="BodyText"/>
              </w:pPr>
              <w:r>
                <w:rPr>
                  <w:color w:val="000000"/>
                  <w:vertAlign w:val="superscript"/>
                </w:rPr>
                <w:t xml:space="preserve">[190]</w:t>
              </w:r>
              <w:r>
                <w:t xml:space="preserve">    Article 9 of the Convention on the Rights of the Child.</w:t>
              </w:r>
            </w:p>
            <w:p>
              <w:pPr>
                <w:pStyle w:val="BodyText"/>
              </w:pPr>
              <w:r>
                <w:rPr>
                  <w:color w:val="000000"/>
                  <w:vertAlign w:val="superscript"/>
                </w:rPr>
                <w:t xml:space="preserve">[191]</w:t>
              </w:r>
              <w:r>
                <w:t xml:space="preserve">    Article 19 of the Convention on the Rights of the Child.</w:t>
              </w:r>
            </w:p>
            <w:p>
              <w:pPr>
                <w:pStyle w:val="BodyText"/>
              </w:pPr>
              <w:r>
                <w:rPr>
                  <w:color w:val="000000"/>
                  <w:vertAlign w:val="superscript"/>
                </w:rPr>
                <w:t xml:space="preserve">[192]</w:t>
              </w:r>
              <w:r>
                <w:t xml:space="preserve">    Section 10 of the Children's Act.</w:t>
              </w:r>
            </w:p>
            <w:p>
              <w:pPr>
                <w:pStyle w:val="BodyText"/>
              </w:pPr>
              <w:r>
                <w:rPr>
                  <w:color w:val="000000"/>
                  <w:vertAlign w:val="superscript"/>
                </w:rPr>
                <w:t xml:space="preserve">[193]</w:t>
              </w:r>
              <w:r>
                <w:t xml:space="preserve">    Section 7(l) of the Children's Act, 2005.</w:t>
              </w:r>
            </w:p>
            <w:p>
              <w:pPr>
                <w:pStyle w:val="BodyText"/>
              </w:pPr>
              <w:r>
                <w:rPr>
                  <w:color w:val="000000"/>
                  <w:vertAlign w:val="superscript"/>
                </w:rPr>
                <w:t xml:space="preserve">[194]</w:t>
              </w:r>
              <w:r>
                <w:t xml:space="preserve">    Section 26(1) of the Constitution.</w:t>
              </w:r>
            </w:p>
            <w:p>
              <w:pPr>
                <w:pStyle w:val="BodyText"/>
              </w:pPr>
              <w:r>
                <w:rPr>
                  <w:color w:val="000000"/>
                  <w:vertAlign w:val="superscript"/>
                </w:rPr>
                <w:t xml:space="preserve">[195]</w:t>
              </w:r>
              <w:r>
                <w:t xml:space="preserve">    Section 26(3) of the Constitution.</w:t>
              </w:r>
            </w:p>
            <w:p>
              <w:pPr>
                <w:pStyle w:val="BodyText"/>
              </w:pPr>
              <w:r>
                <w:rPr>
                  <w:color w:val="000000"/>
                  <w:vertAlign w:val="superscript"/>
                </w:rPr>
                <w:t xml:space="preserve">[196]</w:t>
              </w:r>
              <w:r>
                <w:t xml:space="preserve">    19 of 1998.</w:t>
              </w:r>
            </w:p>
            <w:p>
              <w:pPr>
                <w:pStyle w:val="BodyText"/>
              </w:pPr>
              <w:r>
                <w:rPr>
                  <w:color w:val="000000"/>
                  <w:vertAlign w:val="superscript"/>
                </w:rPr>
                <w:t xml:space="preserve">[197]</w:t>
              </w:r>
              <w:r>
                <w:t xml:space="preserve">    Section 4 of the PIE Act.</w:t>
              </w:r>
            </w:p>
            <w:p>
              <w:pPr>
                <w:pStyle w:val="BodyText"/>
              </w:pPr>
              <w:r>
                <w:rPr>
                  <w:color w:val="000000"/>
                  <w:vertAlign w:val="superscript"/>
                </w:rPr>
                <w:t xml:space="preserve">[198]</w:t>
              </w:r>
              <w:r>
                <w:t xml:space="preserve">    Section 4(7) of the PIE Act.</w:t>
              </w:r>
            </w:p>
            <w:p>
              <w:pPr>
                <w:pStyle w:val="BodyText"/>
              </w:pPr>
              <w:r>
                <w:rPr>
                  <w:color w:val="000000"/>
                  <w:vertAlign w:val="superscript"/>
                </w:rPr>
                <w:t xml:space="preserve">[199]</w:t>
              </w:r>
              <w:r>
                <w:t xml:space="preserve">    Section 4 of the PIE Act.</w:t>
              </w:r>
            </w:p>
            <w:p>
              <w:pPr>
                <w:pStyle w:val="BodyText"/>
              </w:pPr>
              <w:r>
                <w:rPr>
                  <w:color w:val="000000"/>
                  <w:vertAlign w:val="superscript"/>
                </w:rPr>
                <w:t xml:space="preserve">[200]</w:t>
              </w:r>
              <w:r>
                <w:t xml:space="preserve">    Section 4 of the PIE Act.</w:t>
              </w:r>
            </w:p>
            <w:p>
              <w:pPr>
                <w:pStyle w:val="BodyText"/>
              </w:pPr>
              <w:r>
                <w:rPr>
                  <w:color w:val="000000"/>
                  <w:vertAlign w:val="superscript"/>
                </w:rPr>
                <w:t xml:space="preserve">[201]</w:t>
              </w:r>
              <w:r>
                <w:t xml:space="preserve">    Article 4 of the Maputo Protocol.</w:t>
              </w:r>
            </w:p>
            <w:p>
              <w:pPr>
                <w:pStyle w:val="BodyText"/>
              </w:pPr>
              <w:r>
                <w:rPr>
                  <w:color w:val="000000"/>
                  <w:vertAlign w:val="superscript"/>
                </w:rPr>
                <w:t xml:space="preserve">[202]</w:t>
              </w:r>
              <w:r>
                <w:t xml:space="preserve">    Section 14(2)(b) of the Consumer Protection Act.</w:t>
              </w:r>
            </w:p>
            <w:p>
              <w:pPr>
                <w:pStyle w:val="BodyText"/>
              </w:pPr>
              <w:r>
                <w:rPr>
                  <w:color w:val="000000"/>
                  <w:vertAlign w:val="superscript"/>
                </w:rPr>
                <w:t xml:space="preserve">[203]</w:t>
              </w:r>
              <w:r>
                <w:t xml:space="preserve">    Section 3 of the Consumer Protection Act.</w:t>
              </w:r>
            </w:p>
            <w:p>
              <w:pPr>
                <w:pStyle w:val="BodyText"/>
              </w:pPr>
              <w:r>
                <w:rPr>
                  <w:color w:val="000000"/>
                  <w:vertAlign w:val="superscript"/>
                </w:rPr>
                <w:t xml:space="preserve">[204]</w:t>
              </w:r>
              <w:r>
                <w:t xml:space="preserve">    Article 4 of the Maputo Protocol.</w:t>
              </w:r>
            </w:p>
            <w:p>
              <w:pPr>
                <w:pStyle w:val="BodyText"/>
              </w:pPr>
              <w:r>
                <w:rPr>
                  <w:color w:val="000000"/>
                  <w:vertAlign w:val="superscript"/>
                </w:rPr>
                <w:t xml:space="preserve">[205]</w:t>
              </w:r>
              <w:r>
                <w:t xml:space="preserve">    Section 7 of the DVA.</w:t>
              </w:r>
            </w:p>
            <w:p>
              <w:pPr>
                <w:pStyle w:val="BodyText"/>
              </w:pPr>
              <w:r>
                <w:rPr>
                  <w:color w:val="000000"/>
                  <w:vertAlign w:val="superscript"/>
                </w:rPr>
                <w:t xml:space="preserve">[206]</w:t>
              </w:r>
              <w:r>
                <w:t xml:space="preserve">    Section 7(c) of the DVA.</w:t>
              </w:r>
            </w:p>
            <w:p>
              <w:pPr>
                <w:pStyle w:val="BodyText"/>
              </w:pPr>
              <w:r>
                <w:rPr>
                  <w:color w:val="000000"/>
                  <w:vertAlign w:val="superscript"/>
                </w:rPr>
                <w:t xml:space="preserve">[207]</w:t>
              </w:r>
              <w:r>
                <w:t xml:space="preserve">    Section 7(2) of the DVA</w:t>
              </w:r>
            </w:p>
            <w:p>
              <w:pPr>
                <w:pStyle w:val="BodyText"/>
              </w:pPr>
              <w:r>
                <w:rPr>
                  <w:color w:val="000000"/>
                  <w:vertAlign w:val="superscript"/>
                </w:rPr>
                <w:t xml:space="preserve">[208]</w:t>
              </w:r>
              <w:r>
                <w:t xml:space="preserve">    </w:t>
              </w:r>
              <w:hyperlink w:history="true" r:id="R36c5211eaf1443e4">
                <w:r>
                  <w:rPr>
                    <w:rStyle w:val="Hyperlink"/>
                  </w:rPr>
                  <w:t xml:space="preserve">https://www.sahrc.org.za/home/21/files/SAHRC%20GBV%20Research%20Brief%20Publication.pdf</w:t>
                </w:r>
              </w:hyperlink>
            </w:p>
            <w:p>
              <w:pPr>
                <w:pStyle w:val="BodyText"/>
              </w:pPr>
              <w:r>
                <w:rPr>
                  <w:color w:val="000000"/>
                  <w:vertAlign w:val="superscript"/>
                </w:rPr>
                <w:t xml:space="preserve">[209]</w:t>
              </w:r>
              <w:r>
                <w:t xml:space="preserve">    Refer to: </w:t>
              </w:r>
              <w:hyperlink w:history="true" r:id="Rc462149b0c334bfb">
                <w:r>
                  <w:rPr>
                    <w:rStyle w:val="Hyperlink"/>
                  </w:rPr>
                  <w:t xml:space="preserve">https://za.boell.org/sites/default/files/uploads/2013/10/criminaljusticeresponses-assessingimplimentationofdvaingauteng.pdf</w:t>
                </w:r>
              </w:hyperlink>
            </w:p>
            <w:p>
              <w:pPr>
                <w:pStyle w:val="BodyText"/>
              </w:pPr>
              <w:r>
                <w:rPr>
                  <w:color w:val="000000"/>
                  <w:vertAlign w:val="superscript"/>
                </w:rPr>
                <w:t xml:space="preserve">[210]</w:t>
              </w:r>
              <w:r>
                <w:t xml:space="preserve">    Article 4(b) to the Maputo Protocol.</w:t>
              </w:r>
            </w:p>
            <w:p>
              <w:pPr>
                <w:pStyle w:val="BodyText"/>
              </w:pPr>
              <w:r>
                <w:rPr>
                  <w:color w:val="000000"/>
                  <w:vertAlign w:val="superscript"/>
                </w:rPr>
                <w:t xml:space="preserve">[211]</w:t>
              </w:r>
              <w:r>
                <w:t xml:space="preserve">    See for example Articles 55 and 56 of the African (Banjul) Charter on Human and Peoples' Rights.</w:t>
              </w:r>
            </w:p>
            <w:p>
              <w:pPr>
                <w:pStyle w:val="BodyText"/>
              </w:pPr>
              <w:r>
                <w:rPr>
                  <w:vertAlign w:val="superscript"/>
                </w:rPr>
                <w:t xml:space="preserve">[212]</w:t>
              </w:r>
              <w:r>
                <w:t xml:space="preserve">           See for example Article 56 of the African (Banjul) Charter on Human and Peoples' Rights.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au.int/sites/default/files/treaties/37077-sl-PROTOCOL%20TO%20THE%20AFRICAN%20CHARTER%20ON%20HUMAN%20AND%20PEOPLE%27S%20RIGHTS%20ON%20THE%20RIGHTS%20OF%20WOMEN%20IN%20AFRICA.pdf?_sm_au_=iVVktTrjStPMWM5jKkM6NKsW8f6TG" TargetMode="External" Id="Re536781c3ca34f0c" /><Relationship Type="http://schemas.openxmlformats.org/officeDocument/2006/relationships/hyperlink" Target="https://treaties.un.org/Pages/ViewDetails.aspx?src=TREATY&amp;amp;mtdsg_no=IV-8&amp;amp;chapter=4&amp;amp;lang=en" TargetMode="External" Id="R32a532b40dfe4c54" /><Relationship Type="http://schemas.openxmlformats.org/officeDocument/2006/relationships/hyperlink" Target="https://www.saps.gov.za/services/protection_order.php" TargetMode="External" Id="R202c11f26e874ee2" /><Relationship Type="http://schemas.openxmlformats.org/officeDocument/2006/relationships/hyperlink" Target="http://www.justice.gov.za/juscol/docs/article-02.html" TargetMode="External" Id="Rd6f6294814de4abe" /><Relationship Type="http://schemas.openxmlformats.org/officeDocument/2006/relationships/hyperlink" Target="https://www.justice.gov.za/forms/form_dva.htm" TargetMode="External" Id="R88310d1b7f194225" /><Relationship Type="http://schemas.openxmlformats.org/officeDocument/2006/relationships/hyperlink" Target="https://www.justice.gov.za/forms/dva/dva_form%2002.pdf" TargetMode="External" Id="Radb5ce1bb56d4d4a" /><Relationship Type="http://schemas.openxmlformats.org/officeDocument/2006/relationships/hyperlink" Target="https://www.justice.gov.za/vg/dv-faq.html" TargetMode="External" Id="R053b85af3c864d8d" /><Relationship Type="http://schemas.openxmlformats.org/officeDocument/2006/relationships/hyperlink" Target="https://www.up.ac.za/speakoutup/article/2383078/what-is-consent" TargetMode="External" Id="Rc487acb536c847b6" /><Relationship Type="http://schemas.openxmlformats.org/officeDocument/2006/relationships/hyperlink" Target="https://www.npa.gov.za/sites/default/files/resources/public_awareness/victims_charter.pdf" TargetMode="External" Id="Rfd53d370a3d443bd" /><Relationship Type="http://schemas.openxmlformats.org/officeDocument/2006/relationships/hyperlink" Target="https://www.gov.za/documents/employment-equity-act-code-good-practice-handling-sexual-harassment-cases-workplaces" TargetMode="External" Id="R101b5b1916944251" /><Relationship Type="http://schemas.openxmlformats.org/officeDocument/2006/relationships/hyperlink" Target="https://www.sahrc.org.za/home/21/files/SAHRC%20GBV%20Research%20Brief%20Publication.pdf" TargetMode="External" Id="R36c5211eaf1443e4" /><Relationship Type="http://schemas.openxmlformats.org/officeDocument/2006/relationships/hyperlink" Target="https://za.boell.org/sites/default/files/uploads/2013/10/criminaljusticeresponses-assessingimplimentationofdvaingauteng.pdf" TargetMode="External" Id="Rc462149b0c334bf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