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BC7873" w:rsidR="00BC7873" w:rsidP="00662603" w:rsidRDefault="009E2793" w14:paraId="5605F879" w14:textId="4259CC65">
      <w:pPr>
        <w:pStyle w:val="Subtitle"/>
      </w:pPr>
      <w:r w:rsidRPr="00BC7873">
        <w:t>Fighting Domestic Violence - South Africa</w:t>
      </w:r>
    </w:p>
    <w:p w:rsidRPr="006F092A" w:rsidR="006F092A" w:rsidP="006F092A" w:rsidRDefault="00761F2A" w14:paraId="47A10C22" w14:textId="3415D899">
      <w:pPr>
        <w:pStyle w:val="Table"/>
      </w:pPr>
      <w:r>
        <w:br w:type="page"/>
      </w: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0" w:type="dxa"/>
          <w:right w:w="0" w:type="dxa"/>
        </w:tblCellMar>
        <w:tblLook w:val="04A0" w:firstRow="1" w:lastRow="0" w:firstColumn="1" w:lastColumn="0" w:noHBand="0" w:noVBand="1"/>
      </w:tblPr>
      <w:tblGrid>
        <w:gridCol w:w="8990"/>
      </w:tblGrid>
      <w:tr w:rsidR="006C0569" w:rsidTr="00E702F0" w14:paraId="2827400E" w14:textId="77777777">
        <w:trPr>
          <w:tblHeader/>
        </w:trPr>
        <w:tc>
          <w:tcPr>
            <w:tcW w:w="8990" w:type="dxa"/>
          </w:tcPr>
          <w:p w:rsidR="006C0569" w:rsidP="00E702F0" w:rsidRDefault="006C0569" w14:paraId="613422C8" w14:textId="77777777">
            <w:pPr>
              <w:pStyle w:val="TOCHeading"/>
              <w:spacing w:after="160"/>
            </w:pPr>
            <w:r>
              <w:lastRenderedPageBreak/>
              <w:t>Contents</w:t>
            </w:r>
          </w:p>
        </w:tc>
      </w:tr>
      <w:tr w:rsidR="006C0569" w:rsidTr="00E702F0" w14:paraId="63FB350D" w14:textId="77777777">
        <w:tc>
          <w:tcPr>
            <w:tcW w:w="8990" w:type="dxa"/>
          </w:tcPr>
          <w:sdt>
            <w:sdtPr>
              <w:rPr>
                <w:rFonts w:asciiTheme="minorHAnsi" w:hAnsiTheme="minorHAnsi"/>
                <w:b/>
                <w:bCs/>
                <w:noProof/>
              </w:rPr>
              <w:id w:val="1154019052"/>
              <w:docPartObj>
                <w:docPartGallery w:val="Table of Contents"/>
                <w:docPartUnique/>
              </w:docPartObj>
            </w:sdtPr>
            <w:sdtEndPr>
              <w:rPr>
                <w:rFonts w:ascii="Arial" w:hAnsi="Arial"/>
                <w:b w:val="0"/>
                <w:bCs w:val="0"/>
                <w:noProof w:val="0"/>
              </w:rPr>
            </w:sdtEndPr>
            <w:sdtContent>
              <w:bookmarkStart w:name="_Toc33529396" w:displacedByCustomXml="next" w:id="0"/>
              <w:sdt>
                <w:sdtPr>
                  <w:rPr>
                    <w:rFonts w:asciiTheme="minorHAnsi" w:hAnsiTheme="minorHAnsi"/>
                    <w:b/>
                    <w:bCs/>
                    <w:noProof/>
                  </w:rPr>
                  <w:id w:val="-518013989"/>
                  <w:docPartObj>
                    <w:docPartGallery w:val="Table of Contents"/>
                    <w:docPartUnique/>
                  </w:docPartObj>
                </w:sdtPr>
                <w:sdtEndPr>
                  <w:rPr>
                    <w:rFonts w:ascii="Arial" w:hAnsi="Arial"/>
                    <w:b w:val="0"/>
                    <w:bCs w:val="0"/>
                    <w:noProof w:val="0"/>
                    <w:sz w:val="20"/>
                  </w:rPr>
                </w:sdtEndPr>
                <w:sdtContent>
                  <w:bookmarkEnd w:displacedByCustomXml="prev" w:id="0"/>
                  <w:p w:rsidRPr="0097103A" w:rsidR="006C0569" w:rsidP="00E702F0" w:rsidRDefault="006C0569" w14:paraId="04D1140F" w14:textId="77777777">
                    <w:pPr>
                      <w:pStyle w:val="TOC1"/>
                      <w:rPr>
                        <w:sz w:val="20"/>
                      </w:rPr>
                    </w:pPr>
                    <w:r>
                      <w:fldChar w:fldCharType="begin"/>
                    </w:r>
                    <w:r>
                      <w:instrText xml:space="preserve"> TOC \o "1-2" \h \z \u </w:instrText>
                    </w:r>
                    <w:r>
                      <w:fldChar w:fldCharType="separate"/>
                    </w:r>
                    <w:r>
                      <w:t xml:space="preserve">To generate table of contents, right-click here and select </w:t>
                    </w:r>
                    <w:r w:rsidRPr="008816BB">
                      <w:rPr>
                        <w:b/>
                        <w:bCs/>
                      </w:rPr>
                      <w:t>Update Field</w:t>
                    </w:r>
                    <w:r>
                      <w:rPr>
                        <w:b/>
                        <w:bCs/>
                        <w:noProof/>
                      </w:rPr>
                      <w:t>.</w:t>
                    </w:r>
                    <w:r>
                      <w:rPr>
                        <w:b/>
                        <w:bCs/>
                        <w:noProof/>
                      </w:rPr>
                      <w:fldChar w:fldCharType="end"/>
                    </w:r>
                  </w:p>
                </w:sdtContent>
              </w:sdt>
            </w:sdtContent>
          </w:sdt>
        </w:tc>
      </w:tr>
    </w:tbl>
    <w:p w:rsidRPr="008020A8" w:rsidR="00FC6796" w:rsidP="008020A8" w:rsidRDefault="00FC6796" w14:paraId="623D7F49" w14:textId="295F49DA">
      <w:r>
        <w:br w:type="page"/>
      </w:r>
    </w:p>
    <w:sdt>
      <w:sdtPr>
        <w:rPr>
          <w:rFonts w:eastAsiaTheme="minorHAnsi" w:cstheme="minorBidi"/>
          <w:b w:val="0"/>
          <w:color w:val="auto"/>
          <w:sz w:val="20"/>
          <w:szCs w:val="22"/>
        </w:rPr>
        <w:id w:val="-1863039157"/>
        <w:placeholder>
          <w:docPart w:val="DefaultPlaceholder_-1854013435"/>
        </w:placeholder>
        <w15:repeatingSectionItem/>
      </w:sdtPr>
      <w:sdtEndPr/>
      <w:sdtContent>
        <w:p>
          <w:pPr>
            <w:pStyle w:val="BodyText"/>
          </w:pPr>
          <w:r>
            <w:drawing>
              <wp:inline distT="0" distB="0" distL="0" distR="0">
                <wp:extent cx="7781924" cy="714375"/>
                <wp:effectExtent l="19050" t="0" r="0" b="0"/>
                <wp:docPr id="5" name="https://resourcehub.bakermckenzie.com/en/-/media/fighting-domestic-violence/reports/banners/south-africa_banner_v2.jpg?h=75&amp;amp;w=817&amp;amp;rev=8f0c9ebd07df485f9bd4298950782bae&amp;sc_lang=en"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https://resourcehub.bakermckenzie.com/en/-/media/fighting-domestic-violence/reports/banners/south-africa_banner_v2.jpg?h=75&amp;amp;w=817&amp;amp;rev=8f0c9ebd07df485f9bd4298950782bae&amp;sc_lang=en" descr=""/>
                        <pic:cNvPicPr>
                          <a:picLocks noChangeAspect="1" noChangeArrowheads="1"/>
                        </pic:cNvPicPr>
                      </pic:nvPicPr>
                      <pic:blipFill>
                        <a:blip r:embed="R72fa2fe5dfa140fd"/>
                        <a:srcRect/>
                        <a:stretch>
                          <a:fillRect/>
                        </a:stretch>
                      </pic:blipFill>
                      <pic:spPr bwMode="auto">
                        <a:xfrm>
                          <a:off x="0" y="0"/>
                          <a:ext cx="7781924" cy="714375"/>
                        </a:xfrm>
                        <a:prstGeom prst="rect">
                          <a:avLst/>
                        </a:prstGeom>
                      </pic:spPr>
                    </pic:pic>
                  </a:graphicData>
                </a:graphic>
              </wp:inline>
            </w:drawing>
          </w:r>
          <w:r>
            <w:drawing>
              <wp:inline distT="0" distB="0" distL="0" distR="0">
                <wp:extent cx="5495925" cy="1047749"/>
                <wp:effectExtent l="19050" t="0" r="0" b="0"/>
                <wp:docPr id="6" name="https://resourcehub.bakermckenzie.com/en/-/media/fighting-domestic-violence/reports/quotes/ghana_quote_v1/south-africa_quote_v1.jpg?h=110&amp;amp;w=577&amp;amp;rev=c41f05bb6bba43fa8a76f5bcb5e5e81f&amp;sc_lang=en"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https://resourcehub.bakermckenzie.com/en/-/media/fighting-domestic-violence/reports/quotes/ghana_quote_v1/south-africa_quote_v1.jpg?h=110&amp;amp;w=577&amp;amp;rev=c41f05bb6bba43fa8a76f5bcb5e5e81f&amp;sc_lang=en" descr=""/>
                        <pic:cNvPicPr>
                          <a:picLocks noChangeAspect="1" noChangeArrowheads="1"/>
                        </pic:cNvPicPr>
                      </pic:nvPicPr>
                      <pic:blipFill>
                        <a:blip r:embed="R46e86a4479d946ea"/>
                        <a:srcRect/>
                        <a:stretch>
                          <a:fillRect/>
                        </a:stretch>
                      </pic:blipFill>
                      <pic:spPr bwMode="auto">
                        <a:xfrm>
                          <a:off x="0" y="0"/>
                          <a:ext cx="5495925" cy="1047749"/>
                        </a:xfrm>
                        <a:prstGeom prst="rect">
                          <a:avLst/>
                        </a:prstGeom>
                      </pic:spPr>
                    </pic:pic>
                  </a:graphicData>
                </a:graphic>
              </wp:inline>
            </w:drawing>
          </w:r>
          <w:r>
            <w:rPr>
              <w:b/>
              <w:color w:val="4C0078"/>
              <w:sz w:val="72"/>
            </w:rPr>
            <w:t xml:space="preserve">    </w:t>
          </w:r>
          <w:r>
            <w:drawing>
              <wp:inline distT="0" distB="0" distL="0" distR="0">
                <wp:extent cx="1266825" cy="1571625"/>
                <wp:effectExtent l="19050" t="0" r="0" b="0"/>
                <wp:docPr id="7" name="https://resourcehub.bakermckenzie.com/en/-/media/fighting-domestic-violence/reports/tile-images/2021_africa.jpg?h=165&amp;amp;w=133&amp;amp;rev=4f9eea91f5c9410f8ab2031351d3579f&amp;sc_lang=en"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https://resourcehub.bakermckenzie.com/en/-/media/fighting-domestic-violence/reports/tile-images/2021_africa.jpg?h=165&amp;amp;w=133&amp;amp;rev=4f9eea91f5c9410f8ab2031351d3579f&amp;sc_lang=en" descr=""/>
                        <pic:cNvPicPr>
                          <a:picLocks noChangeAspect="1" noChangeArrowheads="1"/>
                        </pic:cNvPicPr>
                      </pic:nvPicPr>
                      <pic:blipFill>
                        <a:blip r:embed="Ref83b62f77234ad6"/>
                        <a:srcRect/>
                        <a:stretch>
                          <a:fillRect/>
                        </a:stretch>
                      </pic:blipFill>
                      <pic:spPr bwMode="auto">
                        <a:xfrm>
                          <a:off x="0" y="0"/>
                          <a:ext cx="1266825" cy="1571625"/>
                        </a:xfrm>
                        <a:prstGeom prst="rect">
                          <a:avLst/>
                        </a:prstGeom>
                      </pic:spPr>
                    </pic:pic>
                  </a:graphicData>
                </a:graphic>
              </wp:inline>
            </w:drawing>
          </w:r>
        </w:p>
        <w:p>
          <w:pPr>
            <w:pStyle w:val="BodyText"/>
          </w:pPr>
          <w:pPr>
            <w:ind w:left="9000"/>
          </w:pPr>
          <w:hyperlink w:history="true" r:id="R2c04474acc0946b9">
            <w:r>
              <w:rPr>
                <w:rStyle w:val="Hyperlink"/>
                <w:b/>
                <w:color w:val="4C0078"/>
                <w:sz w:val="24"/>
              </w:rPr>
              <w:t xml:space="preserve">South Africa Full Report</w:t>
            </w:r>
          </w:hyperlink>
        </w:p>
        <w:p>
          <w:pPr>
            <w:pStyle w:val="BodyText"/>
          </w:pPr>
          <w:pPr>
            <w:ind/>
          </w:pPr>
          <w:r>
            <w:rPr>
              <w:b/>
              <w:color w:val="323232"/>
              <w:sz w:val="36"/>
              <w:bdr w:val="single" w:color="000000" w:sz="16" w:space="1"/>
            </w:rPr>
            <w:t xml:space="preserve">How to use and navigate this report</w:t>
          </w:r>
          <w:r>
            <w:drawing>
              <wp:inline distT="0" distB="0" distL="0" distR="0">
                <wp:extent cx="8667750" cy="1695450"/>
                <wp:effectExtent l="19050" t="0" r="0" b="0"/>
                <wp:docPr id="8" name="https://resourcehub.bakermckenzie.com/en/-/media/fighting-domestic-violence/reports/banners/jurisdiction_instructions_v1.jpg?rev=0b2544bab61249d491e5aeb9ba679f2c&amp;sc_lang=en"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https://resourcehub.bakermckenzie.com/en/-/media/fighting-domestic-violence/reports/banners/jurisdiction_instructions_v1.jpg?rev=0b2544bab61249d491e5aeb9ba679f2c&amp;sc_lang=en" descr=""/>
                        <pic:cNvPicPr>
                          <a:picLocks noChangeAspect="1" noChangeArrowheads="1"/>
                        </pic:cNvPicPr>
                      </pic:nvPicPr>
                      <pic:blipFill>
                        <a:blip r:embed="R92156d745dfa4665"/>
                        <a:srcRect/>
                        <a:stretch>
                          <a:fillRect/>
                        </a:stretch>
                      </pic:blipFill>
                      <pic:spPr bwMode="auto">
                        <a:xfrm>
                          <a:off x="0" y="0"/>
                          <a:ext cx="8667750" cy="1695450"/>
                        </a:xfrm>
                        <a:prstGeom prst="rect">
                          <a:avLst/>
                        </a:prstGeom>
                      </pic:spPr>
                    </pic:pic>
                  </a:graphicData>
                </a:graphic>
              </wp:inline>
            </w:drawing>
          </w:r>
        </w:p>
      </w:sdtContent>
    </w:sdt>
    <w:sdt>
      <w:sdtPr>
        <w:rPr>
          <w:rFonts w:eastAsiaTheme="minorHAnsi" w:cstheme="minorBidi"/>
          <w:b w:val="0"/>
          <w:color w:val="auto"/>
          <w:sz w:val="20"/>
          <w:szCs w:val="20"/>
        </w:rPr>
        <w:id w:val="-2026248521"/>
        <w:placeholder>
          <w:docPart w:val="3816F6170ABC43BCBDB278015F7ED7B2"/>
        </w:placeholder>
        <w15:repeatingSectionItem/>
      </w:sdtPr>
      <w:sdtEndPr>
        <w:rPr>
          <w:szCs w:val="22"/>
        </w:rPr>
      </w:sdtEndPr>
      <w:sdtContent>
        <w:p w:rsidRPr="008020A8" w:rsidR="002537D8" w:rsidP="002537D8" w:rsidRDefault="002537D8" w14:paraId="779BEB21" w14:textId="77777777">
          <w:pPr>
            <w:pStyle w:val="Heading1"/>
          </w:pPr>
          <w:r>
            <w:t>1.	Legal provisions</w:t>
          </w:r>
        </w:p>
        <w:bookmarkStart w:name="_Toc42606705" w:displacedByCustomXml="next" w:id="1"/>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Executive summary</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Domestic violence is a serious and common threat that the women and children of South Africa face on a daily basis. It is often concealed and frequently goes unpunished. A deep understanding of the historical, political and social context of South Africa is important when looking at the nature and extent of violence against women. The systemic effects of colonization and Apartheid in South Africa have exacerbated the impact of domestic violence, especially as it relates to Black women and continues to contribute to their vulnerability. The society is still subjected to patriarchal norms, which are enshrined in the religious and cultural customs of the country. This coupled with the fact that violence is often used to solve conflict in South Africa makes domestic violence an everyday reality for many women and children.</w:t>
                  </w:r>
                </w:p>
                <w:p>
                  <w:pPr>
                    <w:pStyle w:val="BodyText"/>
                  </w:pPr>
                  <w:r>
                    <w:t xml:space="preserve">Victims of domestic violence are, however, afforded legal remedies for acts of domestic violence committed against them. As a point of departure, this is underpinned by the notion that the Constitution of South Africa gives every person the right to dignity, equality, freedom and security of person, which includes the right to be free of all forms of violence from either public or private sources.</w:t>
                  </w:r>
                  <w:r>
                    <w:rPr>
                      <w:color w:val="8DB3E2"/>
                      <w:vertAlign w:val="superscript"/>
                    </w:rPr>
                    <w:t xml:space="preserve">[1]</w:t>
                  </w:r>
                </w:p>
                <w:p>
                  <w:pPr>
                    <w:pStyle w:val="BodyText"/>
                  </w:pPr>
                  <w:r>
                    <w:t xml:space="preserve">What follows is a comprehensive summary of the South African legal framework governing domestic violence, as well as the international commitments and obligations of the government of South Africa. This includes an in-depth analysis of the key provisions of the Domestic Violence Act, No. 116 of 1998. More specifically, this memorandum investigates the recourse, aid and remedies offered to victims of domestic violence, including the issuance of protection orders, which are granted by courts to protect victims against perpetrators of domestic violence. However, the mere issuance of such a protection order is not enough, and the real test of the South African legal system is ensuring the enforceability of protection orders and providing for suitable remedies available to victims. Accordingly, this memorandum also considers the enforceability and accessibility of the enforcement mechanisms available, including the relevant court procedures followed by the state should a victim choose to lay criminal charges against her abuser. Various aspects of this procedure will be analyzed in this memorandum, including the role of the police and courts, the standard of proof necessary to convict an abuser of a criminal offense, possible defenses the abuser may raise and penalties that may be imposed by the court. Finally, this memorandum examines the South African legal framework surrounding various special issues, such as battered woman syndrome, domestic violence in the workplace and housing rights of domestic violence victims, to name a few.</w:t>
                  </w:r>
                  <w:r>
                    <w:br/>
                  </w:r>
                  <w:r>
                    <w:br/>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1.1   What are the relevant statutes and codes?</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pPr>
                    <w:pStyle w:val="ListParagraph"/>
                    <w:numPr>
                      <w:ilvl w:val="0"/>
                      <w:numId w:val="44"/>
                    </w:numPr>
                  </w:pPr>
                  <w:r>
                    <w:t xml:space="preserve">The Constitution of the Republic of South Africa, 1996 (</w:t>
                  </w:r>
                  <w:r>
                    <w:t xml:space="preserve">"</w:t>
                  </w:r>
                  <w:r>
                    <w:rPr>
                      <w:b/>
                    </w:rPr>
                    <w:t xml:space="preserve">Constitution</w:t>
                  </w:r>
                  <w:r>
                    <w:t xml:space="preserve">"</w:t>
                  </w:r>
                  <w:r>
                    <w:t xml:space="preserve">)</w:t>
                  </w:r>
                </w:p>
                <w:p>
                  <w:pPr>
                    <w:pStyle w:val="BodyText"/>
                  </w:pPr>
                  <w:pPr>
                    <w:pStyle w:val="ListParagraph"/>
                    <w:numPr>
                      <w:ilvl w:val="0"/>
                      <w:numId w:val="44"/>
                    </w:numPr>
                  </w:pPr>
                  <w:r>
                    <w:t xml:space="preserve">The Domestic Violence Act, No. 116 of 1998 (</w:t>
                  </w:r>
                  <w:r>
                    <w:t xml:space="preserve">DVA</w:t>
                  </w:r>
                  <w:r>
                    <w:t xml:space="preserve">)</w:t>
                  </w:r>
                </w:p>
                <w:p>
                  <w:pPr>
                    <w:pStyle w:val="BodyText"/>
                  </w:pPr>
                  <w:pPr>
                    <w:pStyle w:val="ListParagraph"/>
                    <w:numPr>
                      <w:ilvl w:val="0"/>
                      <w:numId w:val="44"/>
                    </w:numPr>
                  </w:pPr>
                  <w:r>
                    <w:t xml:space="preserve">The Protection from Harassment Act, No. 17 of 2011 ("</w:t>
                  </w:r>
                  <w:r>
                    <w:rPr>
                      <w:b/>
                    </w:rPr>
                    <w:t xml:space="preserve">PFH Act</w:t>
                  </w:r>
                  <w:r>
                    <w:t xml:space="preserve">"</w:t>
                  </w:r>
                  <w:r>
                    <w:t xml:space="preserve">)</w:t>
                  </w:r>
                </w:p>
                <w:p>
                  <w:pPr>
                    <w:pStyle w:val="BodyText"/>
                  </w:pPr>
                  <w:pPr>
                    <w:pStyle w:val="ListParagraph"/>
                    <w:numPr>
                      <w:ilvl w:val="0"/>
                      <w:numId w:val="44"/>
                    </w:numPr>
                  </w:pPr>
                  <w:r>
                    <w:t xml:space="preserve">The Maintenance Act, No. 99 of 1998 ("</w:t>
                  </w:r>
                  <w:r>
                    <w:rPr>
                      <w:b/>
                    </w:rPr>
                    <w:t xml:space="preserve">Maintenance Act</w:t>
                  </w:r>
                  <w:r>
                    <w:t xml:space="preserve">"</w:t>
                  </w:r>
                  <w:r>
                    <w:t xml:space="preserve">)</w:t>
                  </w:r>
                </w:p>
                <w:p>
                  <w:pPr>
                    <w:pStyle w:val="BodyText"/>
                  </w:pPr>
                  <w:pPr>
                    <w:pStyle w:val="ListParagraph"/>
                    <w:numPr>
                      <w:ilvl w:val="0"/>
                      <w:numId w:val="44"/>
                    </w:numPr>
                  </w:pPr>
                  <w:r>
                    <w:t xml:space="preserve">The Children's Act, No. 38 of 2005 ("</w:t>
                  </w:r>
                  <w:r>
                    <w:rPr>
                      <w:b/>
                    </w:rPr>
                    <w:t xml:space="preserve">Children's Act</w:t>
                  </w:r>
                  <w:r>
                    <w:t xml:space="preserve">"</w:t>
                  </w:r>
                  <w:r>
                    <w:t xml:space="preserve">)</w:t>
                  </w:r>
                </w:p>
                <w:p>
                  <w:pPr>
                    <w:pStyle w:val="BodyText"/>
                  </w:pPr>
                  <w:pPr>
                    <w:pStyle w:val="ListParagraph"/>
                    <w:numPr>
                      <w:ilvl w:val="0"/>
                      <w:numId w:val="44"/>
                    </w:numPr>
                  </w:pPr>
                  <w:r>
                    <w:t xml:space="preserve">The Criminal Law Amendment Act, No. 105 of 1997 ("</w:t>
                  </w:r>
                  <w:r>
                    <w:rPr>
                      <w:b/>
                    </w:rPr>
                    <w:t xml:space="preserve">Criminal Law Amendment Act</w:t>
                  </w:r>
                  <w:r>
                    <w:t xml:space="preserve">"</w:t>
                  </w:r>
                  <w:r>
                    <w:t xml:space="preserve">)</w:t>
                  </w:r>
                </w:p>
                <w:p>
                  <w:pPr>
                    <w:pStyle w:val="BodyText"/>
                  </w:pPr>
                  <w:pPr>
                    <w:pStyle w:val="ListParagraph"/>
                    <w:numPr>
                      <w:ilvl w:val="0"/>
                      <w:numId w:val="44"/>
                    </w:numPr>
                  </w:pPr>
                  <w:r>
                    <w:t xml:space="preserve">Criminal Procedure Act, No. 51 of 1977 (</w:t>
                  </w:r>
                  <w:r>
                    <w:t xml:space="preserve">CPA</w:t>
                  </w:r>
                  <w:r>
                    <w:t xml:space="preserve">)</w:t>
                  </w:r>
                </w:p>
                <w:p>
                  <w:pPr>
                    <w:pStyle w:val="BodyText"/>
                  </w:pPr>
                  <w:pPr>
                    <w:pStyle w:val="ListParagraph"/>
                    <w:numPr>
                      <w:ilvl w:val="0"/>
                      <w:numId w:val="44"/>
                    </w:numPr>
                  </w:pPr>
                  <w:r>
                    <w:t xml:space="preserve">Firearms Control Act No. 60 of 2000 ("</w:t>
                  </w:r>
                  <w:r>
                    <w:rPr>
                      <w:b/>
                    </w:rPr>
                    <w:t xml:space="preserve">Firearms Control Act</w:t>
                  </w:r>
                  <w:r>
                    <w:t xml:space="preserve">"</w:t>
                  </w:r>
                  <w:r>
                    <w:t xml:space="preserve">)</w:t>
                  </w:r>
                  <w:r>
                    <w:rPr>
                      <w:color w:val="8DB3E2"/>
                      <w:vertAlign w:val="superscript"/>
                    </w:rPr>
                    <w:t xml:space="preserve">[2]</w:t>
                  </w:r>
                </w:p>
                <w:p>
                  <w:pPr>
                    <w:pStyle w:val="BodyText"/>
                  </w:pPr>
                  <w:pPr>
                    <w:pStyle w:val="ListParagraph"/>
                    <w:numPr>
                      <w:ilvl w:val="0"/>
                      <w:numId w:val="44"/>
                    </w:numPr>
                  </w:pPr>
                  <w:r>
                    <w:rPr>
                      <w:color w:val="8DB3E2"/>
                      <w:vertAlign w:val="superscript"/>
                    </w:rPr>
                    <w:t xml:space="preserve"> </w:t>
                  </w:r>
                  <w:r>
                    <w:t xml:space="preserve">Criminal Law (Sexual Offences and Related Matters) Amendment Act, No. 32 of 2007 ("</w:t>
                  </w:r>
                  <w:r>
                    <w:rPr>
                      <w:b/>
                    </w:rPr>
                    <w:t xml:space="preserve">Criminal Law (Sexual Offences and Related Matters) Amendment Act</w:t>
                  </w:r>
                  <w:r>
                    <w:t xml:space="preserve">")</w:t>
                  </w:r>
                </w:p>
                <w:p>
                  <w:pPr>
                    <w:pStyle w:val="BodyText"/>
                  </w:pPr>
                  <w:r>
                    <w:t xml:space="preserve"> </w:t>
                  </w:r>
                  <w:r>
                    <w:br/>
                  </w:r>
                  <w:r>
                    <w:br/>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1.2 	What is the controlling case law?</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rPr>
                      <w:i/>
                    </w:rPr>
                    <w:t xml:space="preserve">S v Ferreira and Others</w:t>
                  </w:r>
                  <w:r>
                    <w:t xml:space="preserve"> 2004 (4) All SA 373 (SCA).</w:t>
                  </w:r>
                </w:p>
                <w:p>
                  <w:pPr>
                    <w:pStyle w:val="BodyText"/>
                  </w:pPr>
                  <w:r>
                    <w:rPr>
                      <w:i/>
                    </w:rPr>
                    <w:t xml:space="preserve">Rautenbach v Minister of Safety and Security</w:t>
                  </w:r>
                  <w:r>
                    <w:t xml:space="preserve"> 2017 (2) SACR 610 (WCC).</w:t>
                  </w:r>
                </w:p>
                <w:p>
                  <w:pPr>
                    <w:pStyle w:val="BodyText"/>
                  </w:pPr>
                  <w:r>
                    <w:rPr>
                      <w:i/>
                    </w:rPr>
                    <w:t xml:space="preserve">S v Engelbrecht </w:t>
                  </w:r>
                  <w:r>
                    <w:t xml:space="preserve">2005 (2) SACR 41 (WLD).</w:t>
                  </w:r>
                </w:p>
                <w:p>
                  <w:pPr>
                    <w:pStyle w:val="BodyText"/>
                  </w:pPr>
                  <w:r>
                    <w:rPr>
                      <w:i/>
                    </w:rPr>
                    <w:t xml:space="preserve">S v Baloyi</w:t>
                  </w:r>
                  <w:r>
                    <w:t xml:space="preserve"> 2000 (2) SA 425 (CC).</w:t>
                  </w:r>
                </w:p>
                <w:p>
                  <w:pPr>
                    <w:pStyle w:val="BodyText"/>
                  </w:pPr>
                  <w:r>
                    <w:rPr>
                      <w:i/>
                    </w:rPr>
                    <w:t xml:space="preserve">Trainor v S</w:t>
                  </w:r>
                  <w:r>
                    <w:t xml:space="preserve"> 2003 (1) All SA 455 (SCA).</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1.3	What are the specific parts of the court system that address domestic violence?</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The entire South African judicial system has a role to play in addressing domestic violence in South Africa. The magistrates' court (South Africa's lowest court) is the first court a victim of domestic violence will come into contact with when applying for a protection order under the DVA. Where children are involved in an instance of domestic violence, a family court (a specialized magistrates' court) may be the appropriate court to approach to protect the interests of the child. The superior courts (high court, Supreme Court of Appeal and the Constitutional Court of South Africa), also have a role to play in addressing domestic violence to the extent that complainants bring matters relating to domestic violence before them.</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1.4	What are potential causes of action?</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Domestic violence is any of the following conduct, where such conduct harms, or may cause imminent harm to, the safety, health or well-being of the victim:</w:t>
                  </w:r>
                  <w:r>
                    <w:rPr>
                      <w:color w:val="8DB3E2"/>
                      <w:vertAlign w:val="superscript"/>
                    </w:rPr>
                    <w:t xml:space="preserve">[3]</w:t>
                  </w:r>
                </w:p>
                <w:p>
                  <w:pPr>
                    <w:pStyle w:val="BodyText"/>
                  </w:pPr>
                  <w:pPr>
                    <w:pStyle w:val="ListParagraph"/>
                    <w:numPr>
                      <w:ilvl w:val="0"/>
                      <w:numId w:val="43"/>
                    </w:numPr>
                  </w:pPr>
                  <w:r>
                    <w:t xml:space="preserve">physical abuse</w:t>
                  </w:r>
                </w:p>
                <w:p>
                  <w:pPr>
                    <w:pStyle w:val="BodyText"/>
                  </w:pPr>
                  <w:pPr>
                    <w:pStyle w:val="ListParagraph"/>
                    <w:numPr>
                      <w:ilvl w:val="0"/>
                      <w:numId w:val="43"/>
                    </w:numPr>
                  </w:pPr>
                  <w:r>
                    <w:t xml:space="preserve">sexual abuse</w:t>
                  </w:r>
                </w:p>
                <w:p>
                  <w:pPr>
                    <w:pStyle w:val="BodyText"/>
                  </w:pPr>
                  <w:pPr>
                    <w:pStyle w:val="ListParagraph"/>
                    <w:numPr>
                      <w:ilvl w:val="0"/>
                      <w:numId w:val="43"/>
                    </w:numPr>
                  </w:pPr>
                  <w:r>
                    <w:t xml:space="preserve">emotional, verbal and psychological abuse</w:t>
                  </w:r>
                </w:p>
                <w:p>
                  <w:pPr>
                    <w:pStyle w:val="BodyText"/>
                  </w:pPr>
                  <w:pPr>
                    <w:pStyle w:val="ListParagraph"/>
                    <w:numPr>
                      <w:ilvl w:val="0"/>
                      <w:numId w:val="43"/>
                    </w:numPr>
                  </w:pPr>
                  <w:r>
                    <w:t xml:space="preserve">economic abuse</w:t>
                  </w:r>
                </w:p>
                <w:p>
                  <w:pPr>
                    <w:pStyle w:val="BodyText"/>
                  </w:pPr>
                  <w:pPr>
                    <w:pStyle w:val="ListParagraph"/>
                    <w:numPr>
                      <w:ilvl w:val="0"/>
                      <w:numId w:val="43"/>
                    </w:numPr>
                  </w:pPr>
                  <w:r>
                    <w:t xml:space="preserve">intimidation</w:t>
                  </w:r>
                </w:p>
                <w:p>
                  <w:pPr>
                    <w:pStyle w:val="BodyText"/>
                  </w:pPr>
                  <w:pPr>
                    <w:pStyle w:val="ListParagraph"/>
                    <w:numPr>
                      <w:ilvl w:val="0"/>
                      <w:numId w:val="43"/>
                    </w:numPr>
                  </w:pPr>
                  <w:r>
                    <w:t xml:space="preserve">harassment</w:t>
                  </w:r>
                </w:p>
                <w:p>
                  <w:pPr>
                    <w:pStyle w:val="BodyText"/>
                  </w:pPr>
                  <w:pPr>
                    <w:pStyle w:val="ListParagraph"/>
                    <w:numPr>
                      <w:ilvl w:val="0"/>
                      <w:numId w:val="43"/>
                    </w:numPr>
                  </w:pPr>
                  <w:r>
                    <w:t xml:space="preserve">kidnapping</w:t>
                  </w:r>
                </w:p>
                <w:p>
                  <w:pPr>
                    <w:pStyle w:val="BodyText"/>
                  </w:pPr>
                  <w:pPr>
                    <w:pStyle w:val="ListParagraph"/>
                    <w:numPr>
                      <w:ilvl w:val="0"/>
                      <w:numId w:val="43"/>
                    </w:numPr>
                  </w:pPr>
                  <w:r>
                    <w:t xml:space="preserve">stalking</w:t>
                  </w:r>
                </w:p>
                <w:p>
                  <w:pPr>
                    <w:pStyle w:val="BodyText"/>
                  </w:pPr>
                  <w:pPr>
                    <w:pStyle w:val="ListParagraph"/>
                    <w:numPr>
                      <w:ilvl w:val="0"/>
                      <w:numId w:val="43"/>
                    </w:numPr>
                  </w:pPr>
                  <w:r>
                    <w:t xml:space="preserve">damage to property</w:t>
                  </w:r>
                </w:p>
                <w:p>
                  <w:pPr>
                    <w:pStyle w:val="BodyText"/>
                  </w:pPr>
                  <w:pPr>
                    <w:pStyle w:val="ListParagraph"/>
                    <w:numPr>
                      <w:ilvl w:val="0"/>
                      <w:numId w:val="43"/>
                    </w:numPr>
                  </w:pPr>
                  <w:r>
                    <w:t xml:space="preserve">entry into the victim's residence without consent, where the parties do not share the same residence</w:t>
                  </w:r>
                </w:p>
                <w:p>
                  <w:pPr>
                    <w:pStyle w:val="BodyText"/>
                  </w:pPr>
                  <w:pPr>
                    <w:pStyle w:val="ListParagraph"/>
                    <w:numPr>
                      <w:ilvl w:val="0"/>
                      <w:numId w:val="43"/>
                    </w:numPr>
                  </w:pPr>
                  <w:r>
                    <w:t xml:space="preserve">any other controlling or abusive behavior toward a victim</w:t>
                  </w:r>
                </w:p>
              </w:sdtContent>
            </w:sdt>
          </w:sdtContent>
        </w:sdt>
      </w:sdtContent>
    </w:sdt>
    <w:sdt>
      <w:sdtPr>
        <w:rPr>
          <w:rFonts w:eastAsiaTheme="minorHAnsi" w:cstheme="minorBidi"/>
          <w:b w:val="0"/>
          <w:color w:val="auto"/>
          <w:sz w:val="20"/>
          <w:szCs w:val="20"/>
        </w:rPr>
        <w:id w:val="-2026248521"/>
        <w:placeholder>
          <w:docPart w:val="3816F6170ABC43BCBDB278015F7ED7B2"/>
        </w:placeholder>
        <w15:repeatingSectionItem/>
      </w:sdtPr>
      <w:sdtEndPr>
        <w:rPr>
          <w:szCs w:val="22"/>
        </w:rPr>
      </w:sdtEndPr>
      <w:sdtContent>
        <w:p w:rsidRPr="008020A8" w:rsidR="002537D8" w:rsidP="002537D8" w:rsidRDefault="002537D8" w14:paraId="779BEB21" w14:textId="77777777">
          <w:pPr>
            <w:pStyle w:val="Heading1"/>
          </w:pPr>
          <w:r>
            <w:t>2.	Introduction: framework guiding domestic violence law</w:t>
          </w:r>
        </w:p>
        <w:bookmarkStart w:name="_Toc42606705" w:displacedByCustomXml="next" w:id="1"/>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2.1	Are there civil and criminal legal remedies for domestic violence victims?</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Yes. Please refer to Sections 4 and 5 below.</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2.2	Is domestic violence identified in national law as a human right (noting that at a European level protection from domestic violence has not been explicitly identified as a human right but is indirectly captured by the other provisions)?</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Yes. Under the Constitution, everyone has the fundamental right to:</w:t>
                  </w:r>
                </w:p>
                <w:p>
                  <w:pPr>
                    <w:pStyle w:val="BodyText"/>
                  </w:pPr>
                  <w:pPr>
                    <w:pStyle w:val="ListParagraph"/>
                    <w:numPr>
                      <w:ilvl w:val="0"/>
                      <w:numId w:val="41"/>
                    </w:numPr>
                  </w:pPr>
                  <w:r>
                    <w:t xml:space="preserve">inherent dignity and the right to have their dignity respected and protected</w:t>
                  </w:r>
                  <w:r>
                    <w:rPr>
                      <w:color w:val="8DB3E2"/>
                      <w:vertAlign w:val="superscript"/>
                    </w:rPr>
                    <w:t xml:space="preserve">[4]</w:t>
                  </w:r>
                </w:p>
                <w:p>
                  <w:pPr>
                    <w:pStyle w:val="BodyText"/>
                  </w:pPr>
                  <w:pPr>
                    <w:pStyle w:val="ListParagraph"/>
                    <w:numPr>
                      <w:ilvl w:val="0"/>
                      <w:numId w:val="41"/>
                    </w:numPr>
                  </w:pPr>
                  <w:r>
                    <w:t xml:space="preserve">life</w:t>
                  </w:r>
                  <w:r>
                    <w:rPr>
                      <w:color w:val="8DB3E2"/>
                      <w:vertAlign w:val="superscript"/>
                    </w:rPr>
                    <w:t xml:space="preserve">[5]</w:t>
                  </w:r>
                </w:p>
                <w:p>
                  <w:pPr>
                    <w:pStyle w:val="BodyText"/>
                  </w:pPr>
                  <w:pPr>
                    <w:pStyle w:val="ListParagraph"/>
                    <w:numPr>
                      <w:ilvl w:val="0"/>
                      <w:numId w:val="41"/>
                    </w:numPr>
                  </w:pPr>
                  <w:r>
                    <w:t xml:space="preserve">freedom and security of the person, which includes the right:</w:t>
                  </w:r>
                </w:p>
                <w:p>
                  <w:pPr>
                    <w:pStyle w:val="BodyText"/>
                  </w:pPr>
                  <w:pPr>
                    <w:pStyle w:val="ListParagraph"/>
                    <w:numPr>
                      <w:ilvl w:val="0"/>
                      <w:numId w:val="42"/>
                    </w:numPr>
                  </w:pPr>
                  <w:r>
                    <w:t xml:space="preserve">to be free from all forms of violence from either public or private sources</w:t>
                  </w:r>
                </w:p>
                <w:p>
                  <w:pPr>
                    <w:pStyle w:val="BodyText"/>
                  </w:pPr>
                  <w:pPr>
                    <w:pStyle w:val="ListParagraph"/>
                    <w:numPr>
                      <w:ilvl w:val="0"/>
                      <w:numId w:val="42"/>
                    </w:numPr>
                  </w:pPr>
                  <w:r>
                    <w:t xml:space="preserve">not to be tortured in any way</w:t>
                  </w:r>
                </w:p>
                <w:p>
                  <w:pPr>
                    <w:pStyle w:val="BodyText"/>
                  </w:pPr>
                  <w:pPr>
                    <w:pStyle w:val="ListParagraph"/>
                    <w:numPr>
                      <w:ilvl w:val="0"/>
                      <w:numId w:val="42"/>
                    </w:numPr>
                  </w:pPr>
                  <w:r>
                    <w:t xml:space="preserve">not to be treated or punished in a cruel, inhuman or degrading way</w:t>
                  </w:r>
                  <w:r>
                    <w:rPr>
                      <w:color w:val="8DB3E2"/>
                      <w:vertAlign w:val="superscript"/>
                    </w:rPr>
                    <w:t xml:space="preserve">[6]</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2.3 Has your country signed and ratified the conventions?</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Yes. South Africa signed and ratified the Protocol to the African Charter on Human and People's Rights on the Rights of Women in Africa ("</w:t>
                  </w:r>
                  <w:r>
                    <w:rPr>
                      <w:b/>
                    </w:rPr>
                    <w:t xml:space="preserve">Maputo Protocol</w:t>
                  </w:r>
                  <w:r>
                    <w:t xml:space="preserve">") in 2004.</w:t>
                  </w:r>
                  <w:r>
                    <w:rPr>
                      <w:color w:val="8DB3E2"/>
                      <w:vertAlign w:val="superscript"/>
                    </w:rPr>
                    <w:t xml:space="preserve">[7]</w:t>
                  </w:r>
                  <w:r>
                    <w:rPr>
                      <w:vertAlign w:val="superscript"/>
                    </w:rPr>
                    <w:t xml:space="preserve"> </w:t>
                  </w:r>
                  <w:r>
                    <w:t xml:space="preserve">In addition, South Africa is also a state party to the Convention on the Elimination of All Forms of Discrimination against Women (CEDAW), having ratified the convention in 1995.</w:t>
                  </w:r>
                  <w:r>
                    <w:rPr>
                      <w:color w:val="8DB3E2"/>
                      <w:vertAlign w:val="superscript"/>
                    </w:rPr>
                    <w:t xml:space="preserve">[8]</w:t>
                  </w:r>
                  <w:r>
                    <w:br/>
                  </w:r>
                  <w:r>
                    <w:br/>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2.4 If it has ratified the Maputo Protocol, how has it been implemented into national law (African Union member states only)?</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Prior to the ratification of the Maputo Protocol, and having regard to CEDAW as well as the right to </w:t>
                  </w:r>
                  <w:r>
                    <w:rPr>
                      <w:i/>
                    </w:rPr>
                    <w:t xml:space="preserve">inter alia</w:t>
                  </w:r>
                  <w:r>
                    <w:t xml:space="preserve"> equality, freedom and security of person contained in the Constitution,</w:t>
                  </w:r>
                  <w:r>
                    <w:rPr>
                      <w:color w:val="8DB3E2"/>
                      <w:vertAlign w:val="superscript"/>
                    </w:rPr>
                    <w:t xml:space="preserve">[9]</w:t>
                  </w:r>
                  <w:r>
                    <w:rPr>
                      <w:vertAlign w:val="superscript"/>
                    </w:rPr>
                    <w:t xml:space="preserve"> </w:t>
                  </w:r>
                  <w:r>
                    <w:t xml:space="preserve">South Africa enacted national laws that serve to prevent and prohibit the unfair discrimination of women and promote women's rights, as well as responding to the high incidence of domestic violence in South Africa, such as the DVA. Since then, the Maputo Protocol has been localized in a piecemeal manner through law reform in certain areas, and has been referred to in instances where, for example, common laws have been developed such as the application of the doctrine of common purpose to the common law crime of rape.</w:t>
                  </w:r>
                  <w:r>
                    <w:rPr>
                      <w:color w:val="8DB3E2"/>
                      <w:vertAlign w:val="superscript"/>
                    </w:rPr>
                    <w:t xml:space="preserve">[10]</w:t>
                  </w:r>
                  <w:r>
                    <w:br/>
                  </w:r>
                  <w:r>
                    <w:br/>
                  </w:r>
                </w:p>
                <w:p>
                  <w:pPr>
                    <w:pStyle w:val="BodyText"/>
                  </w:pPr>
                  <w:r>
                    <w:t xml:space="preserve"> </w:t>
                  </w:r>
                </w:p>
                <w:p>
                  <w:pPr>
                    <w:pStyle w:val="BodyText"/>
                  </w:pPr>
                  <w:r>
                    <w:br/>
                  </w:r>
                  <w:r>
                    <w:br/>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2.5 If it has ratified the 1979 Convention (CEDAW), how has the recommendations part of General Comment No. 35 been implemented into national law?</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Having regard to CEDAW, South Africa has </w:t>
                  </w:r>
                  <w:r>
                    <w:rPr>
                      <w:i/>
                    </w:rPr>
                    <w:t xml:space="preserve">inter alia</w:t>
                  </w:r>
                  <w:r>
                    <w:t xml:space="preserve"> enacted the DVA and the Promotion of Equality and Prevention of Unfair Discrimination Act No. 4 of 2000, which regulates and echoes the legal framework on gender-based violence as adopted in CEDAW's General Recommendation No. 35 ("</w:t>
                  </w:r>
                  <w:r>
                    <w:rPr>
                      <w:b/>
                    </w:rPr>
                    <w:t xml:space="preserve">Recommendation 35</w:t>
                  </w:r>
                  <w:r>
                    <w:t xml:space="preserve">"). The DVA recognizes that domestic violence is a serious social evil and strives to afford the victims of domestic violence the maximum protection from domestic abuse that the law can provide.</w:t>
                  </w:r>
                </w:p>
                <w:p>
                  <w:pPr>
                    <w:pStyle w:val="BodyText"/>
                  </w:pPr>
                  <w:r>
                    <w:t xml:space="preserve"> In addition, the South African Criminal Law (Sexual Offences and Related Matters) Amendment Act explicitly highlights that a marital or other relationship, previous or existing, cannot be a defense for rape, compelled rape or sexual assault.</w:t>
                  </w:r>
                  <w:r>
                    <w:rPr>
                      <w:color w:val="8DB3E2"/>
                      <w:vertAlign w:val="superscript"/>
                    </w:rPr>
                    <w:t xml:space="preserve">[11]</w:t>
                  </w:r>
                  <w:r>
                    <w:t xml:space="preserve"> This expands the understanding of violence to include violations of a sexual nature that women suffer at the hands of their partners or spouses.</w:t>
                  </w:r>
                  <w:r>
                    <w:br/>
                  </w:r>
                  <w:r>
                    <w:br/>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2.6 If the conventions have not been ratified or signed, is it envisaged that your country will do so?</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N/A.</w:t>
                  </w:r>
                </w:p>
              </w:sdtContent>
            </w:sdt>
          </w:sdtContent>
        </w:sdt>
      </w:sdtContent>
    </w:sdt>
    <w:sdt>
      <w:sdtPr>
        <w:rPr>
          <w:rFonts w:eastAsiaTheme="minorHAnsi" w:cstheme="minorBidi"/>
          <w:b w:val="0"/>
          <w:color w:val="auto"/>
          <w:sz w:val="20"/>
          <w:szCs w:val="20"/>
        </w:rPr>
        <w:id w:val="-2026248521"/>
        <w:placeholder>
          <w:docPart w:val="3816F6170ABC43BCBDB278015F7ED7B2"/>
        </w:placeholder>
        <w15:repeatingSectionItem/>
      </w:sdtPr>
      <w:sdtEndPr>
        <w:rPr>
          <w:szCs w:val="22"/>
        </w:rPr>
      </w:sdtEndPr>
      <w:sdtContent>
        <w:p w:rsidRPr="008020A8" w:rsidR="002537D8" w:rsidP="002537D8" w:rsidRDefault="002537D8" w14:paraId="779BEB21" w14:textId="77777777">
          <w:pPr>
            <w:pStyle w:val="Heading1"/>
          </w:pPr>
          <w:r>
            <w:t>3.	Similarities and differences in terminology</w:t>
          </w:r>
        </w:p>
        <w:bookmarkStart w:name="_Toc42606705" w:displacedByCustomXml="next" w:id="1"/>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3.1 Domestic violence</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Domestic violence is defined in the DVA as any physical abuse; sexual abuse; emotional, verbal and psychological abuse; economic abuse; intimidation; harassment; stalking; damage to property; entry into the victim's residence without consent, where the parties do not share the same residence; or any other controlling or abusive behavior toward a victim, where such conduct harms or may cause imminent harm to the safety, health or well-being of the victim.</w:t>
                  </w:r>
                  <w:r>
                    <w:rPr>
                      <w:color w:val="8DB3E2"/>
                      <w:vertAlign w:val="superscript"/>
                    </w:rPr>
                    <w:t xml:space="preserve">[12]</w:t>
                  </w:r>
                  <w:r>
                    <w:br/>
                  </w:r>
                  <w:r>
                    <w:br/>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3.2 Stalking</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Stalking, under the terms of the DVA, refers to repeatedly following, pursuing, or accosting the victim.</w:t>
                  </w:r>
                  <w:r>
                    <w:rPr>
                      <w:color w:val="8DB3E2"/>
                      <w:vertAlign w:val="superscript"/>
                    </w:rPr>
                    <w:t xml:space="preserve">[13]</w:t>
                  </w:r>
                  <w:r>
                    <w:br/>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3.3 Harassment</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pPr>
                    <w:spacing w:before="0"/>
                  </w:pPr>
                  <w:r>
                    <w:t xml:space="preserve">Under the DVA, harassment means engaging in a pattern of conduct that induces the fear of harm to a victim, including:</w:t>
                  </w:r>
                </w:p>
                <w:p>
                  <w:pPr>
                    <w:pStyle w:val="BodyText"/>
                  </w:pPr>
                  <w:pPr>
                    <w:pStyle w:val="ListParagraph"/>
                    <w:numPr>
                      <w:ilvl w:val="0"/>
                      <w:numId w:val="40"/>
                    </w:numPr>
                  </w:pPr>
                  <w:r>
                    <w:t xml:space="preserve">repeatedly watching, or loitering outside of or near the building or place where the victim resides, works, carries on business, studies or happens to be</w:t>
                  </w:r>
                </w:p>
                <w:p>
                  <w:pPr>
                    <w:pStyle w:val="BodyText"/>
                  </w:pPr>
                  <w:pPr>
                    <w:pStyle w:val="ListParagraph"/>
                    <w:numPr>
                      <w:ilvl w:val="0"/>
                      <w:numId w:val="40"/>
                    </w:numPr>
                  </w:pPr>
                  <w:r>
                    <w:t xml:space="preserve">repeatedly making telephone calls or inducing another person to make telephone calls to the victim, whether or not conversation ensues</w:t>
                  </w:r>
                </w:p>
                <w:p>
                  <w:pPr>
                    <w:pStyle w:val="BodyText"/>
                  </w:pPr>
                  <w:pPr>
                    <w:pStyle w:val="ListParagraph"/>
                    <w:numPr>
                      <w:ilvl w:val="0"/>
                      <w:numId w:val="40"/>
                    </w:numPr>
                  </w:pPr>
                  <w:r>
                    <w:t xml:space="preserve">repeatedly sending, delivering or causing the delivery of letters, telegrams, packages, facsimiles, electronic mail or other objects to the victim</w:t>
                  </w:r>
                  <w:r>
                    <w:rPr>
                      <w:color w:val="8DB3E2"/>
                      <w:vertAlign w:val="superscript"/>
                    </w:rPr>
                    <w:t xml:space="preserve">[14]</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3.4 Victim</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There is no definition of victim in the DVA. Please refer to the definition of "complainant."</w:t>
                  </w:r>
                  <w:r>
                    <w:rPr>
                      <w:color w:val="8DB3E2"/>
                      <w:vertAlign w:val="superscript"/>
                    </w:rPr>
                    <w:t xml:space="preserve">[15]</w:t>
                  </w:r>
                  <w:r>
                    <w:br/>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3.5 Abuser</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There is no definition of abuser in the DVA. Please refer to the definition of "respondent."</w:t>
                  </w:r>
                  <w:r>
                    <w:rPr>
                      <w:color w:val="8DB3E2"/>
                      <w:vertAlign w:val="superscript"/>
                    </w:rPr>
                    <w:t xml:space="preserve">[16]</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3.6 Civil protection order</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The DVA provides that a protection order is an order that is issued under the terms of the DVA.</w:t>
                  </w:r>
                  <w:r>
                    <w:rPr>
                      <w:color w:val="8DB3E2"/>
                      <w:vertAlign w:val="superscript"/>
                    </w:rPr>
                    <w:t xml:space="preserve">[17]</w:t>
                  </w:r>
                  <w:r>
                    <w:t xml:space="preserve"> However, it is generally understood to be a court order under the terms of which a person is prohibited from engaging in certain conduct as a result of an allegation of domestic violence for the purposes of the DVA or harassment for the purposes of the PFH Act.</w:t>
                  </w:r>
                  <w:r>
                    <w:rPr>
                      <w:color w:val="8DB3E2"/>
                      <w:vertAlign w:val="superscript"/>
                    </w:rPr>
                    <w:t xml:space="preserve">[18]</w:t>
                  </w:r>
                  <w:r>
                    <w:br/>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3.7 Causes of action</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Cause of action is defined to be every fact that would be necessary for the victim to prove in order to support her right to the judgment of the court.</w:t>
                  </w:r>
                  <w:r>
                    <w:rPr>
                      <w:color w:val="8DB3E2"/>
                      <w:vertAlign w:val="superscript"/>
                    </w:rPr>
                    <w:t xml:space="preserve">[19]</w:t>
                  </w:r>
                  <w:r>
                    <w:br/>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3.8 Marital rape</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Whilst the DVA does not expressly define marital rape, marital rape is understood to be the act of </w:t>
                  </w:r>
                  <w:hyperlink w:history="true" r:id="R5a0d5580e8b04eec">
                    <w:r>
                      <w:rPr>
                        <w:rStyle w:val="Hyperlink"/>
                      </w:rPr>
                      <w:t xml:space="preserve">sexual intercourse</w:t>
                    </w:r>
                  </w:hyperlink>
                  <w:r>
                    <w:t xml:space="preserve"> with one's spouse without the spouse's </w:t>
                  </w:r>
                  <w:hyperlink w:history="true" r:id="R843f3d5bb7b944ee">
                    <w:r>
                      <w:rPr>
                        <w:rStyle w:val="Hyperlink"/>
                      </w:rPr>
                      <w:t xml:space="preserve">consent</w:t>
                    </w:r>
                  </w:hyperlink>
                  <w:r>
                    <w:t xml:space="preserve">.</w:t>
                  </w:r>
                  <w:r>
                    <w:rPr>
                      <w:color w:val="8DB3E2"/>
                      <w:vertAlign w:val="superscript"/>
                    </w:rPr>
                    <w:t xml:space="preserve">[20]</w:t>
                  </w:r>
                  <w:r>
                    <w:t xml:space="preserve">The act of marital rape would fall under the definition of sexual abuse in the DVA.</w:t>
                  </w:r>
                  <w:r>
                    <w:rPr>
                      <w:color w:val="8DB3E2"/>
                      <w:vertAlign w:val="superscript"/>
                    </w:rPr>
                    <w:t xml:space="preserve">[21]</w:t>
                  </w:r>
                  <w:r>
                    <w:br/>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3.9 Are there any other important domestic violence terms defined in relevant domestic violence statutes and codes?</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Yes. Set out below are additional terms and their definitions:</w:t>
                  </w:r>
                </w:p>
                <w:p>
                  <w:pPr>
                    <w:pStyle w:val="BodyText"/>
                  </w:pPr>
                  <w:r>
                    <w:rPr>
                      <w:b/>
                    </w:rPr>
                    <w:t xml:space="preserve">Complainant</w:t>
                  </w:r>
                </w:p>
                <w:p>
                  <w:pPr>
                    <w:pStyle w:val="BodyText"/>
                  </w:pPr>
                  <w:r>
                    <w:t xml:space="preserve">Any person who is or has been in a domestic relationship with a respondent and who is or has been subjected or allegedly subjected to an act of domestic violence, including any child in the care of the complainant.</w:t>
                  </w:r>
                  <w:r>
                    <w:rPr>
                      <w:color w:val="8DB3E2"/>
                      <w:vertAlign w:val="superscript"/>
                    </w:rPr>
                    <w:t xml:space="preserve">[22]</w:t>
                  </w:r>
                </w:p>
                <w:p>
                  <w:pPr>
                    <w:pStyle w:val="BodyText"/>
                  </w:pPr>
                  <w:r>
                    <w:rPr>
                      <w:b/>
                    </w:rPr>
                    <w:t xml:space="preserve">Domestic relationship</w:t>
                  </w:r>
                </w:p>
                <w:p>
                  <w:pPr>
                    <w:pStyle w:val="BodyText"/>
                  </w:pPr>
                  <w:r>
                    <w:t xml:space="preserve">A relationship between a complainant and a respondent in any of the following ways:</w:t>
                  </w:r>
                </w:p>
                <w:p>
                  <w:pPr>
                    <w:pStyle w:val="BodyText"/>
                  </w:pPr>
                  <w:pPr>
                    <w:pStyle w:val="ListParagraph"/>
                    <w:numPr>
                      <w:ilvl w:val="0"/>
                      <w:numId w:val="37"/>
                    </w:numPr>
                  </w:pPr>
                  <w:r>
                    <w:t xml:space="preserve">They are or were married to each other, including marriage according to any law, custom or religion.</w:t>
                  </w:r>
                </w:p>
                <w:p>
                  <w:pPr>
                    <w:pStyle w:val="BodyText"/>
                  </w:pPr>
                  <w:pPr>
                    <w:pStyle w:val="ListParagraph"/>
                    <w:numPr>
                      <w:ilvl w:val="0"/>
                      <w:numId w:val="37"/>
                    </w:numPr>
                  </w:pPr>
                  <w:r>
                    <w:t xml:space="preserve">They (whether they are of the same or of the opposite sex) live or lived together in a relationship in the nature of marriage, although they are not — or were not — married to each other, or are not able to be married to each other.</w:t>
                  </w:r>
                </w:p>
                <w:p>
                  <w:pPr>
                    <w:pStyle w:val="BodyText"/>
                  </w:pPr>
                  <w:pPr>
                    <w:pStyle w:val="ListParagraph"/>
                    <w:numPr>
                      <w:ilvl w:val="0"/>
                      <w:numId w:val="37"/>
                    </w:numPr>
                  </w:pPr>
                  <w:r>
                    <w:t xml:space="preserve">They are the parents of a child or are persons who have or had parental responsibility for that child (whether or not at the same time).</w:t>
                  </w:r>
                </w:p>
                <w:p>
                  <w:pPr>
                    <w:pStyle w:val="BodyText"/>
                  </w:pPr>
                  <w:pPr>
                    <w:pStyle w:val="ListParagraph"/>
                    <w:numPr>
                      <w:ilvl w:val="0"/>
                      <w:numId w:val="37"/>
                    </w:numPr>
                  </w:pPr>
                  <w:r>
                    <w:t xml:space="preserve">They are family members related by consanguinity, affinity or adoption.</w:t>
                  </w:r>
                </w:p>
                <w:p>
                  <w:pPr>
                    <w:pStyle w:val="BodyText"/>
                  </w:pPr>
                  <w:pPr>
                    <w:pStyle w:val="ListParagraph"/>
                    <w:numPr>
                      <w:ilvl w:val="0"/>
                      <w:numId w:val="37"/>
                    </w:numPr>
                  </w:pPr>
                  <w:r>
                    <w:t xml:space="preserve">They are or were in an engagement, dating or customary relationship, including an actual or perceived romantic, intimate or sexual relationship of any duration.</w:t>
                  </w:r>
                </w:p>
                <w:p>
                  <w:pPr>
                    <w:pStyle w:val="BodyText"/>
                  </w:pPr>
                  <w:pPr>
                    <w:pStyle w:val="ListParagraph"/>
                    <w:numPr>
                      <w:ilvl w:val="0"/>
                      <w:numId w:val="37"/>
                    </w:numPr>
                  </w:pPr>
                  <w:r>
                    <w:t xml:space="preserve">They share or recently shared the same residence.</w:t>
                  </w:r>
                  <w:r>
                    <w:rPr>
                      <w:color w:val="8DB3E2"/>
                      <w:vertAlign w:val="superscript"/>
                    </w:rPr>
                    <w:t xml:space="preserve">[23]</w:t>
                  </w:r>
                </w:p>
                <w:p>
                  <w:pPr>
                    <w:pStyle w:val="BodyText"/>
                  </w:pPr>
                  <w:r>
                    <w:rPr>
                      <w:b/>
                    </w:rPr>
                    <w:t xml:space="preserve">Economic abuse</w:t>
                  </w:r>
                </w:p>
                <w:p>
                  <w:pPr>
                    <w:pStyle w:val="BodyText"/>
                  </w:pPr>
                  <w:r>
                    <w:t xml:space="preserve">Includes:</w:t>
                  </w:r>
                </w:p>
                <w:p>
                  <w:pPr>
                    <w:pStyle w:val="BodyText"/>
                  </w:pPr>
                  <w:pPr>
                    <w:pStyle w:val="ListParagraph"/>
                    <w:numPr>
                      <w:ilvl w:val="0"/>
                      <w:numId w:val="38"/>
                    </w:numPr>
                  </w:pPr>
                  <w:r>
                    <w:t xml:space="preserve">the unreasonable deprivation of economic or financial resources to which a complainant is entitled under law or which the complainant requires out of necessity, including household necessities for the complainant and mortgage bond repayments or payment of rent in respect of the shared residence</w:t>
                  </w:r>
                </w:p>
                <w:p>
                  <w:pPr>
                    <w:pStyle w:val="BodyText"/>
                  </w:pPr>
                  <w:pPr>
                    <w:pStyle w:val="ListParagraph"/>
                    <w:numPr>
                      <w:ilvl w:val="0"/>
                      <w:numId w:val="38"/>
                    </w:numPr>
                  </w:pPr>
                  <w:r>
                    <w:t xml:space="preserve">the unreasonable disposal of household effects or other property in which the complainant has an interest</w:t>
                  </w:r>
                  <w:r>
                    <w:rPr>
                      <w:color w:val="8DB3E2"/>
                      <w:vertAlign w:val="superscript"/>
                    </w:rPr>
                    <w:t xml:space="preserve">[24]</w:t>
                  </w:r>
                </w:p>
                <w:p>
                  <w:pPr>
                    <w:pStyle w:val="BodyText"/>
                  </w:pPr>
                  <w:r>
                    <w:rPr>
                      <w:b/>
                    </w:rPr>
                    <w:t xml:space="preserve">Emotional, verbal and psychological abuse</w:t>
                  </w:r>
                </w:p>
                <w:p>
                  <w:pPr>
                    <w:pStyle w:val="BodyText"/>
                  </w:pPr>
                  <w:r>
                    <w:t xml:space="preserve">Is defined as a pattern of degrading or humiliating conduct toward a complainant, including:</w:t>
                  </w:r>
                </w:p>
                <w:p>
                  <w:pPr>
                    <w:pStyle w:val="BodyText"/>
                  </w:pPr>
                  <w:pPr>
                    <w:pStyle w:val="ListParagraph"/>
                    <w:numPr>
                      <w:ilvl w:val="0"/>
                      <w:numId w:val="39"/>
                    </w:numPr>
                  </w:pPr>
                  <w:r>
                    <w:t xml:space="preserve">repeated insults, ridicule or name calling</w:t>
                  </w:r>
                </w:p>
                <w:p>
                  <w:pPr>
                    <w:pStyle w:val="BodyText"/>
                  </w:pPr>
                  <w:pPr>
                    <w:pStyle w:val="ListParagraph"/>
                    <w:numPr>
                      <w:ilvl w:val="0"/>
                      <w:numId w:val="39"/>
                    </w:numPr>
                  </w:pPr>
                  <w:r>
                    <w:t xml:space="preserve">repeated threats to cause emotional pain</w:t>
                  </w:r>
                </w:p>
                <w:p>
                  <w:pPr>
                    <w:pStyle w:val="BodyText"/>
                  </w:pPr>
                  <w:pPr>
                    <w:pStyle w:val="ListParagraph"/>
                    <w:numPr>
                      <w:ilvl w:val="0"/>
                      <w:numId w:val="39"/>
                    </w:numPr>
                  </w:pPr>
                  <w:r>
                    <w:t xml:space="preserve">the repeated exhibition of obsessive possessiveness or jealousy that constitutes a serious invasion of the complainant's privacy, liberty, integrity or security</w:t>
                  </w:r>
                  <w:r>
                    <w:rPr>
                      <w:color w:val="8DB3E2"/>
                      <w:vertAlign w:val="superscript"/>
                    </w:rPr>
                    <w:t xml:space="preserve">[25]</w:t>
                  </w:r>
                </w:p>
                <w:p>
                  <w:pPr>
                    <w:pStyle w:val="BodyText"/>
                  </w:pPr>
                  <w:r>
                    <w:rPr>
                      <w:b/>
                    </w:rPr>
                    <w:t xml:space="preserve">Intimidation</w:t>
                  </w:r>
                </w:p>
                <w:p>
                  <w:pPr>
                    <w:pStyle w:val="BodyText"/>
                  </w:pPr>
                  <w:r>
                    <w:t xml:space="preserve">Uttering or conveying a threat, or causing a complainant to receive a threat, which induces fear.</w:t>
                  </w:r>
                  <w:r>
                    <w:rPr>
                      <w:color w:val="8DB3E2"/>
                      <w:vertAlign w:val="superscript"/>
                    </w:rPr>
                    <w:t xml:space="preserve">[26]</w:t>
                  </w:r>
                </w:p>
                <w:p>
                  <w:pPr>
                    <w:pStyle w:val="BodyText"/>
                  </w:pPr>
                  <w:r>
                    <w:rPr>
                      <w:b/>
                    </w:rPr>
                    <w:t xml:space="preserve">Physical abuse</w:t>
                  </w:r>
                </w:p>
                <w:p>
                  <w:pPr>
                    <w:pStyle w:val="BodyText"/>
                  </w:pPr>
                  <w:r>
                    <w:t xml:space="preserve">Any act or threatened act of physical violence toward a complainant.</w:t>
                  </w:r>
                  <w:r>
                    <w:rPr>
                      <w:color w:val="8DB3E2"/>
                      <w:vertAlign w:val="superscript"/>
                    </w:rPr>
                    <w:t xml:space="preserve">[27]</w:t>
                  </w:r>
                </w:p>
                <w:p>
                  <w:pPr>
                    <w:pStyle w:val="BodyText"/>
                  </w:pPr>
                  <w:r>
                    <w:rPr>
                      <w:b/>
                    </w:rPr>
                    <w:t xml:space="preserve">Respondent</w:t>
                  </w:r>
                </w:p>
                <w:p>
                  <w:pPr>
                    <w:pStyle w:val="BodyText"/>
                  </w:pPr>
                  <w:r>
                    <w:t xml:space="preserve">Any person who is or has been in a domestic relationship with a complainant and who has committed or allegedly committed an act of domestic violence against the complainant.</w:t>
                  </w:r>
                  <w:r>
                    <w:rPr>
                      <w:color w:val="8DB3E2"/>
                      <w:vertAlign w:val="superscript"/>
                    </w:rPr>
                    <w:t xml:space="preserve">[28]</w:t>
                  </w:r>
                </w:p>
                <w:p>
                  <w:pPr>
                    <w:pStyle w:val="BodyText"/>
                  </w:pPr>
                  <w:r>
                    <w:rPr>
                      <w:b/>
                    </w:rPr>
                    <w:t xml:space="preserve">Sexual abuse</w:t>
                  </w:r>
                </w:p>
                <w:p>
                  <w:pPr>
                    <w:pStyle w:val="BodyText"/>
                  </w:pPr>
                  <w:r>
                    <w:t xml:space="preserve">Any conduct that abuses, humiliates, degrades or otherwise violates the sexual integrity of the complainant.</w:t>
                  </w:r>
                  <w:r>
                    <w:rPr>
                      <w:color w:val="8DB3E2"/>
                      <w:vertAlign w:val="superscript"/>
                    </w:rPr>
                    <w:t xml:space="preserve">[29]</w:t>
                  </w:r>
                </w:p>
              </w:sdtContent>
            </w:sdt>
          </w:sdtContent>
        </w:sdt>
      </w:sdtContent>
    </w:sdt>
    <w:sdt>
      <w:sdtPr>
        <w:rPr>
          <w:rFonts w:eastAsiaTheme="minorHAnsi" w:cstheme="minorBidi"/>
          <w:b w:val="0"/>
          <w:color w:val="auto"/>
          <w:sz w:val="20"/>
          <w:szCs w:val="20"/>
        </w:rPr>
        <w:id w:val="-2026248521"/>
        <w:placeholder>
          <w:docPart w:val="3816F6170ABC43BCBDB278015F7ED7B2"/>
        </w:placeholder>
        <w15:repeatingSectionItem/>
      </w:sdtPr>
      <w:sdtEndPr>
        <w:rPr>
          <w:szCs w:val="22"/>
        </w:rPr>
      </w:sdtEndPr>
      <w:sdtContent>
        <w:p w:rsidRPr="008020A8" w:rsidR="002537D8" w:rsidP="002537D8" w:rsidRDefault="002537D8" w14:paraId="779BEB21" w14:textId="77777777">
          <w:pPr>
            <w:pStyle w:val="Heading1"/>
          </w:pPr>
          <w:r>
            <w:t>4.	Protection for domestic violence victims and relief granted</w:t>
          </w:r>
        </w:p>
        <w:bookmarkStart w:name="_Toc42606705" w:displacedByCustomXml="next" w:id="1"/>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4.1	Civil protection orders</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pPr>
                    <w:pBdr>
                      <w:top w:val="single" w:sz="4"/>
                    </w:pBdr>
                  </w:pPr>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4.1.1 Are there civil protection orders available to victims of domestic abuse?</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Yes. The DVA provides for both interim protection orders ("</w:t>
                  </w:r>
                  <w:r>
                    <w:rPr>
                      <w:b/>
                    </w:rPr>
                    <w:t xml:space="preserve">Interim Protection Order</w:t>
                  </w:r>
                  <w:r>
                    <w:t xml:space="preserve">") and (final) protection orders. An Interim Protection Order is granted in emergency situations to provide immediate relief to a victim of domestic violence, until the date on which the complainant and respondent (as these terms are used in the DVA) — after being given due notice — appear before the magistrates' court to have the Interim Protection Order made a final order of the court ("</w:t>
                  </w:r>
                  <w:r>
                    <w:rPr>
                      <w:b/>
                    </w:rPr>
                    <w:t xml:space="preserve">Return Date"</w:t>
                  </w:r>
                  <w:r>
                    <w:t xml:space="preserve">). On the Return Date, the respondent is afforded the opportunity to present to the court reasons why the protection order should not be made final.</w:t>
                  </w:r>
                </w:p>
                <w:p>
                  <w:pPr>
                    <w:pStyle w:val="BodyText"/>
                  </w:pPr>
                  <w:r>
                    <w:t xml:space="preserve">It should also be noted that protection orders may also be issued under the PFH Act, which applies in circumstances in which the DVA does not apply due to the fact that the complainant and respondent are not in a "domestic relationship"</w:t>
                  </w:r>
                  <w:r>
                    <w:rPr>
                      <w:i/>
                    </w:rPr>
                    <w:t xml:space="preserve"> </w:t>
                  </w:r>
                  <w:r>
                    <w:t xml:space="preserve">as defined in the DVA.</w:t>
                  </w:r>
                </w:p>
                <w:p>
                  <w:pPr>
                    <w:pStyle w:val="BodyText"/>
                  </w:pPr>
                  <w:r>
                    <w:t xml:space="preserve"> </w:t>
                  </w:r>
                </w:p>
                <w:p>
                  <w:pPr>
                    <w:pStyle w:val="BodyText"/>
                  </w:pPr>
                  <w:r>
                    <w:br/>
                  </w:r>
                  <w:r>
                    <w:br/>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4.1.2 Who can petition for civil protection orders?</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The DVA provides that "any complainant" may apply to the court for a protection order (interim or otherwise)</w:t>
                  </w:r>
                  <w:r>
                    <w:rPr>
                      <w:color w:val="8DB3E2"/>
                      <w:vertAlign w:val="superscript"/>
                    </w:rPr>
                    <w:t xml:space="preserve">[30]</w:t>
                  </w:r>
                  <w:r>
                    <w:rPr>
                      <w:vertAlign w:val="superscript"/>
                    </w:rPr>
                    <w:t xml:space="preserve"> </w:t>
                  </w:r>
                  <w:r>
                    <w:t xml:space="preserve">— a complainant being "any person who is or has been in a domestic relationship</w:t>
                  </w:r>
                  <w:r>
                    <w:rPr>
                      <w:color w:val="8DB3E2"/>
                      <w:vertAlign w:val="superscript"/>
                    </w:rPr>
                    <w:t xml:space="preserve">[31]</w:t>
                  </w:r>
                  <w:r>
                    <w:rPr>
                      <w:vertAlign w:val="superscript"/>
                    </w:rPr>
                    <w:t xml:space="preserve"> </w:t>
                  </w:r>
                  <w:r>
                    <w:t xml:space="preserve">with a respondent and who is or has been subjected or allegedly subjected to an act of domestic violence, including any child in the care of the complainant</w:t>
                  </w:r>
                  <w:r>
                    <w:t xml:space="preserve">."</w:t>
                  </w:r>
                  <w:r>
                    <w:rPr>
                      <w:color w:val="8DB3E2"/>
                      <w:vertAlign w:val="superscript"/>
                    </w:rPr>
                    <w:t xml:space="preserve">[32]</w:t>
                  </w:r>
                </w:p>
                <w:p>
                  <w:pPr>
                    <w:pStyle w:val="BodyText"/>
                  </w:pPr>
                  <w:r>
                    <w:t xml:space="preserve">Further, the DVA expressly provides that "any minor, or any person on behalf of a minor, may apply to the court for a protection order without the assistance of a parent, guardian or any other person."</w:t>
                  </w:r>
                  <w:r>
                    <w:rPr>
                      <w:color w:val="8DB3E2"/>
                      <w:vertAlign w:val="superscript"/>
                    </w:rPr>
                    <w:t xml:space="preserve">[33]</w:t>
                  </w:r>
                </w:p>
                <w:p>
                  <w:pPr>
                    <w:pStyle w:val="BodyText"/>
                  </w:pPr>
                  <w:r>
                    <w:t xml:space="preserve">An application for a protection order (interim or otherwise) may also be brought on behalf of a victim by any other person who has a "material interest in the well-being of the complainant" (including a counsellor, health service provider, member of the South African Police Service, social worker or teacher), provided that the victim provides her written consent to the person who is making the application on her behalf. The written consent of the victim will </w:t>
                  </w:r>
                  <w:r>
                    <w:rPr>
                      <w:b/>
                    </w:rPr>
                    <w:t xml:space="preserve">not</w:t>
                  </w:r>
                  <w:r>
                    <w:t xml:space="preserve"> be required where the victim is:</w:t>
                  </w:r>
                </w:p>
                <w:p>
                  <w:pPr>
                    <w:pStyle w:val="BodyText"/>
                  </w:pPr>
                  <w:pPr>
                    <w:pStyle w:val="ListParagraph"/>
                    <w:numPr>
                      <w:ilvl w:val="0"/>
                      <w:numId w:val="36"/>
                    </w:numPr>
                  </w:pPr>
                  <w:r>
                    <w:t xml:space="preserve">a minor (under the age of 18)</w:t>
                  </w:r>
                </w:p>
                <w:p>
                  <w:pPr>
                    <w:pStyle w:val="BodyText"/>
                  </w:pPr>
                  <w:pPr>
                    <w:pStyle w:val="ListParagraph"/>
                    <w:numPr>
                      <w:ilvl w:val="0"/>
                      <w:numId w:val="36"/>
                    </w:numPr>
                  </w:pPr>
                  <w:r>
                    <w:t xml:space="preserve">mentally incapacitated</w:t>
                  </w:r>
                </w:p>
                <w:p>
                  <w:pPr>
                    <w:pStyle w:val="BodyText"/>
                  </w:pPr>
                  <w:pPr>
                    <w:pStyle w:val="ListParagraph"/>
                    <w:numPr>
                      <w:ilvl w:val="0"/>
                      <w:numId w:val="36"/>
                    </w:numPr>
                  </w:pPr>
                  <w:r>
                    <w:t xml:space="preserve">unconscious</w:t>
                  </w:r>
                </w:p>
                <w:p>
                  <w:pPr>
                    <w:pStyle w:val="BodyText"/>
                  </w:pPr>
                  <w:pPr>
                    <w:pStyle w:val="ListParagraph"/>
                    <w:numPr>
                      <w:ilvl w:val="0"/>
                      <w:numId w:val="36"/>
                    </w:numPr>
                  </w:pPr>
                  <w:r>
                    <w:t xml:space="preserve">a person whom the court is satisfied is unable to provide the required consent</w:t>
                  </w:r>
                  <w:r>
                    <w:rPr>
                      <w:color w:val="8DB3E2"/>
                      <w:vertAlign w:val="superscript"/>
                    </w:rPr>
                    <w:t xml:space="preserve">[34]</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4.1.3 Are there temporary custody of a child or child support orders?</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Yes. A court has the power to grant an order prohibiting contact with a child, or to make the respondent's contact with a child subject to certain conditions.</w:t>
                  </w:r>
                  <w:r>
                    <w:rPr>
                      <w:color w:val="8DB3E2"/>
                      <w:vertAlign w:val="superscript"/>
                    </w:rPr>
                    <w:t xml:space="preserve">[35]</w:t>
                  </w:r>
                </w:p>
                <w:p>
                  <w:pPr>
                    <w:pStyle w:val="BodyText"/>
                  </w:pPr>
                  <w:r>
                    <w:t xml:space="preserve">Under the terms of the DVA, the court has the power to make an order for the respondent to pay rent, mortgages or other emergency monetary relief, which may serve to assist a complainant in fulfilling her duties of support for a child.</w:t>
                  </w:r>
                  <w:r>
                    <w:rPr>
                      <w:color w:val="8DB3E2"/>
                      <w:vertAlign w:val="superscript"/>
                    </w:rPr>
                    <w:t xml:space="preserve">[36]</w:t>
                  </w:r>
                  <w:r>
                    <w:t xml:space="preserve"> Matters relating to child maintenance, may best be dealt with under the terms of the Maintenance Act and/or the Children's Act, through a family court. However, under the terms of the DVA, courts can make a provision in a protection order for matters regarding maintenance or child support for a "limited period" if they are of the view that those provisions should be dealt with under the terms of another relevant law, such as the Maintenance Act or Children's Act.</w:t>
                  </w:r>
                  <w:r>
                    <w:rPr>
                      <w:color w:val="8DB3E2"/>
                      <w:vertAlign w:val="superscript"/>
                    </w:rPr>
                    <w:t xml:space="preserve">[37]</w:t>
                  </w:r>
                  <w:r>
                    <w:rPr>
                      <w:vertAlign w:val="superscript"/>
                    </w:rPr>
                    <w:t xml:space="preserve"> </w:t>
                  </w:r>
                  <w:r>
                    <w:t xml:space="preserve">This is to afford the victim time to seek appropriate relief under the terms of such other relevant law. Further, the DVA prohibits a court from refusing to issue a protection order or imposing conditions, which it is competent to impose by virtue of the provisions of the DVA, merely because other legal remedies are available to the complainant.</w:t>
                  </w:r>
                  <w:r>
                    <w:rPr>
                      <w:color w:val="8DB3E2"/>
                      <w:vertAlign w:val="superscript"/>
                    </w:rPr>
                    <w:t xml:space="preserve">[38]</w:t>
                  </w:r>
                </w:p>
                <w:p>
                  <w:pPr>
                    <w:pStyle w:val="BodyText"/>
                  </w:pPr>
                  <w:r>
                    <w:t xml:space="preserve"> </w:t>
                  </w:r>
                </w:p>
                <w:p>
                  <w:pPr>
                    <w:pStyle w:val="BodyText"/>
                  </w:pPr>
                  <w:r>
                    <w:br/>
                  </w:r>
                  <w:r>
                    <w:br/>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4.1.4 Is there a provision to order the abuser to move out or stay away from places that the victims frequent?</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Yes. A protection order can prohibit a respondent from entering the complainant's residence or the residence shared by the complainant and the respondent.</w:t>
                  </w:r>
                  <w:r>
                    <w:rPr>
                      <w:color w:val="8DB3E2"/>
                      <w:vertAlign w:val="superscript"/>
                    </w:rPr>
                    <w:t xml:space="preserve">[39]</w:t>
                  </w:r>
                  <w:r>
                    <w:t xml:space="preserve"> Furthermore, protection orders can prevent a respondent from accessing a previously shared home, parts of a currently shared home or the complainant's place of employment.</w:t>
                  </w:r>
                  <w:r>
                    <w:rPr>
                      <w:color w:val="8DB3E2"/>
                      <w:vertAlign w:val="superscript"/>
                    </w:rPr>
                    <w:t xml:space="preserve">[40]</w:t>
                  </w:r>
                </w:p>
                <w:p>
                  <w:pPr>
                    <w:pStyle w:val="BodyText"/>
                  </w:pPr>
                  <w:r>
                    <w:t xml:space="preserve">In some instances, protection orders may prohibit the respondent from accessing other places the complainant frequents as complainants are permitted to specify and request additional relief.</w:t>
                  </w:r>
                  <w:r>
                    <w:rPr>
                      <w:color w:val="8DB3E2"/>
                      <w:vertAlign w:val="superscript"/>
                    </w:rPr>
                    <w:t xml:space="preserve">[41]</w:t>
                  </w:r>
                </w:p>
                <w:p>
                  <w:pPr>
                    <w:pStyle w:val="BodyText"/>
                  </w:pPr>
                  <w:r>
                    <w:br/>
                  </w:r>
                  <w:r>
                    <w:br/>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4.1.5 Are there any other types of emergency, preventive and civil protection orders?</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Yes. In addition to the protection orders granted under the DVA, a protection order may also be granted under the PFH Act. Protection orders issued under the terms of the PFH Act protect complainants who are not in a domestic relationship (as defined in the DVA) with the respondent. Whether an order is sought under the DVA or the PFH Act, an interim order may be granted if the court is of the view that the victim will suffer undue hardship if the order is not granted immediately.</w:t>
                  </w:r>
                  <w:r>
                    <w:rPr>
                      <w:color w:val="8DB3E2"/>
                      <w:vertAlign w:val="superscript"/>
                    </w:rPr>
                    <w:t xml:space="preserve">[42]</w:t>
                  </w:r>
                  <w:r>
                    <w:rPr>
                      <w:vertAlign w:val="superscript"/>
                    </w:rPr>
                    <w:t xml:space="preserve"> </w:t>
                  </w:r>
                  <w:r>
                    <w:t xml:space="preserve">Therefore, a provision is made for applications to be brought outside of court hours if the victim will suffer undue hardship in the event of a delay.</w:t>
                  </w:r>
                  <w:r>
                    <w:rPr>
                      <w:color w:val="8DB3E2"/>
                      <w:vertAlign w:val="superscript"/>
                    </w:rPr>
                    <w:t xml:space="preserve">[43]</w:t>
                  </w:r>
                </w:p>
                <w:p>
                  <w:pPr>
                    <w:pStyle w:val="BodyText"/>
                  </w:pPr>
                  <w:r>
                    <w:t xml:space="preserve"> There are, of course, other remedies that may be granted, such as civil interdicts, but these remedies are less accessible, especially to persons who are vulnerable and need urgent relief without legal representation. </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4.1.6 Can these orders be requested by direct or indirect victims or legal representatives in children's cases?</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Under the DVA, any complainant can apply for a protection order directly, or they may give consent for another person to apply on their behalf. A person who brings the application on a complainant's behalf must have a material interest in the well-being of the complainant in addition to their written consent.</w:t>
                  </w:r>
                  <w:r>
                    <w:rPr>
                      <w:color w:val="8DB3E2"/>
                      <w:vertAlign w:val="superscript"/>
                    </w:rPr>
                    <w:t xml:space="preserve">[44]</w:t>
                  </w:r>
                  <w:r>
                    <w:rPr>
                      <w:vertAlign w:val="superscript"/>
                    </w:rPr>
                    <w:t xml:space="preserve"> </w:t>
                  </w:r>
                  <w:r>
                    <w:t xml:space="preserve">This interest must be motivated or explained in the supporting documentation submitted with the application. It is important to note that the consent of the complainant will not be necessary where the complainant is: (i) a minor; (ii) mentally disabled; (iii) unconscious; or (iv) a person whom the court is satisfied is unable to provide the required consent.</w:t>
                  </w:r>
                  <w:r>
                    <w:rPr>
                      <w:color w:val="8DB3E2"/>
                      <w:vertAlign w:val="superscript"/>
                    </w:rPr>
                    <w:t xml:space="preserve">[45]</w:t>
                  </w:r>
                </w:p>
                <w:p>
                  <w:pPr>
                    <w:pStyle w:val="BodyText"/>
                  </w:pPr>
                  <w:r>
                    <w:t xml:space="preserve">Any child, or any person on behalf of a child, may apply for a protection order without the assistance of a parent, guardian or any other person.</w:t>
                  </w:r>
                  <w:r>
                    <w:rPr>
                      <w:color w:val="8DB3E2"/>
                      <w:vertAlign w:val="superscript"/>
                    </w:rPr>
                    <w:t xml:space="preserve">[46]</w:t>
                  </w:r>
                </w:p>
                <w:p>
                  <w:pPr>
                    <w:pStyle w:val="BodyText"/>
                  </w:pPr>
                  <w:r>
                    <w:br/>
                  </w:r>
                  <w:r>
                    <w:br/>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4.1.7 Are there different types of civil protection orders, e.g., for a short- term period?</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A victim may apply for an Interim Protection Order or a final protection order ("</w:t>
                  </w:r>
                  <w:r>
                    <w:rPr>
                      <w:b/>
                    </w:rPr>
                    <w:t xml:space="preserve">Final Protection Order</w:t>
                  </w:r>
                  <w:r>
                    <w:t xml:space="preserve">") under the DVA. The main differences between each are as follows:</w:t>
                  </w:r>
                </w:p>
                <w:p>
                  <w:pPr>
                    <w:pStyle w:val="BodyText"/>
                  </w:pPr>
                  <w:pPr>
                    <w:pStyle w:val="ListParagraph"/>
                    <w:numPr>
                      <w:ilvl w:val="0"/>
                      <w:numId w:val="35"/>
                    </w:numPr>
                  </w:pPr>
                  <w:r>
                    <w:t xml:space="preserve">An Interim Protection Order is an urgent order and only becomes effective when it is served on the respondent.</w:t>
                  </w:r>
                  <w:r>
                    <w:rPr>
                      <w:color w:val="8DB3E2"/>
                      <w:vertAlign w:val="superscript"/>
                    </w:rPr>
                    <w:t xml:space="preserve">[47]</w:t>
                  </w:r>
                </w:p>
                <w:p>
                  <w:pPr>
                    <w:pStyle w:val="BodyText"/>
                  </w:pPr>
                  <w:pPr>
                    <w:pStyle w:val="ListParagraph"/>
                    <w:numPr>
                      <w:ilvl w:val="0"/>
                      <w:numId w:val="35"/>
                    </w:numPr>
                  </w:pPr>
                  <w:r>
                    <w:t xml:space="preserve">A Final Protection Order is effective as soon as the court grants the order.</w:t>
                  </w:r>
                  <w:r>
                    <w:rPr>
                      <w:color w:val="8DB3E2"/>
                      <w:vertAlign w:val="superscript"/>
                    </w:rPr>
                    <w:t xml:space="preserve">[48]</w:t>
                  </w:r>
                </w:p>
                <w:p>
                  <w:pPr>
                    <w:pStyle w:val="BodyText"/>
                  </w:pPr>
                  <w:pPr>
                    <w:pStyle w:val="ListParagraph"/>
                    <w:numPr>
                      <w:ilvl w:val="0"/>
                      <w:numId w:val="35"/>
                    </w:numPr>
                  </w:pPr>
                  <w:r>
                    <w:t xml:space="preserve">An Interim Protection Order is a temporary order. Both the complainant and the respondent must return on a later date to state their cases before the order is made final. If the Final Protection Order is not granted, the Interim Protection Order will lapse.</w:t>
                  </w:r>
                  <w:r>
                    <w:rPr>
                      <w:color w:val="8DB3E2"/>
                      <w:vertAlign w:val="superscript"/>
                    </w:rPr>
                    <w:t xml:space="preserve">[49]</w:t>
                  </w:r>
                </w:p>
                <w:p>
                  <w:pPr>
                    <w:pStyle w:val="BodyText"/>
                  </w:pPr>
                  <w:pPr>
                    <w:pStyle w:val="ListParagraph"/>
                    <w:numPr>
                      <w:ilvl w:val="0"/>
                      <w:numId w:val="35"/>
                    </w:numPr>
                  </w:pPr>
                  <w:r>
                    <w:t xml:space="preserve">A Final Protection Order will not lapse. However, the court may set it aside upon the request of either party.</w:t>
                  </w:r>
                  <w:r>
                    <w:rPr>
                      <w:color w:val="8DB3E2"/>
                      <w:vertAlign w:val="superscript"/>
                    </w:rPr>
                    <w:t xml:space="preserve">[50]</w:t>
                  </w:r>
                </w:p>
                <w:p>
                  <w:pPr>
                    <w:pStyle w:val="BodyText"/>
                  </w:pPr>
                  <w:r>
                    <w:t xml:space="preserve">Where a complainant does not meet the requirements of the DVA, i.e., they are not or have not been "in a domestic relationship with the respondent" and have "been subjected or allegedly subjected to an act of domestic violence," including any child in that person's care,</w:t>
                  </w:r>
                  <w:r>
                    <w:rPr>
                      <w:color w:val="8DB3E2"/>
                      <w:vertAlign w:val="superscript"/>
                    </w:rPr>
                    <w:t xml:space="preserve">[51]</w:t>
                  </w:r>
                  <w:r>
                    <w:t xml:space="preserve"> the complainant may apply for a protection order under the PFH Act.</w:t>
                  </w:r>
                </w:p>
                <w:p>
                  <w:pPr>
                    <w:pStyle w:val="BodyText"/>
                  </w:pPr>
                  <w:r>
                    <w:rPr>
                      <w:color w:val="000000"/>
                    </w:rPr>
                    <w:t xml:space="preserve"> A protection order granted under the PFH Act expires after a period of five years. This period may be extended when a court believes that it is reasonable to do so.</w:t>
                  </w:r>
                  <w:r>
                    <w:rPr>
                      <w:color w:val="8DB3E2"/>
                      <w:vertAlign w:val="superscript"/>
                    </w:rPr>
                    <w:t xml:space="preserve">[52]</w:t>
                  </w:r>
                  <w:r>
                    <w:br/>
                  </w:r>
                  <w:r>
                    <w:br/>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4.1.8 Are ex parte orders permitted without the aggressor being present?</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Yes. Interim Protection Orders are granted </w:t>
                  </w:r>
                  <w:r>
                    <w:rPr>
                      <w:i/>
                    </w:rPr>
                    <w:t xml:space="preserve">ex parte</w:t>
                  </w:r>
                  <w:r>
                    <w:t xml:space="preserve">.</w:t>
                  </w:r>
                  <w:r>
                    <w:rPr>
                      <w:color w:val="8DB3E2"/>
                      <w:vertAlign w:val="superscript"/>
                    </w:rPr>
                    <w:t xml:space="preserve">[53]</w:t>
                  </w:r>
                  <w:r>
                    <w:t xml:space="preserve"> However, as mentioned above, the order will not be effective until it has been served on the respondent.</w:t>
                  </w:r>
                  <w:r>
                    <w:rPr>
                      <w:color w:val="8DB3E2"/>
                      <w:vertAlign w:val="superscript"/>
                    </w:rPr>
                    <w:t xml:space="preserve">[54]</w:t>
                  </w:r>
                  <w:r>
                    <w:t xml:space="preserve"> Further, the Interim Protection Order will stipulate the date on which the respondent must be present at court to make his or her case as to why the order should not be made final.</w:t>
                  </w:r>
                  <w:r>
                    <w:rPr>
                      <w:color w:val="8DB3E2"/>
                      <w:vertAlign w:val="superscript"/>
                    </w:rPr>
                    <w:t xml:space="preserve">[55]</w:t>
                  </w:r>
                  <w:r>
                    <w:t xml:space="preserve"> Failure by the respondent to appear on the Return Date may result in the Interim Protection Order being made a final order by the court.</w:t>
                  </w:r>
                  <w:r>
                    <w:rPr>
                      <w:color w:val="8DB3E2"/>
                      <w:vertAlign w:val="superscript"/>
                    </w:rPr>
                    <w:t xml:space="preserve">[56]</w:t>
                  </w:r>
                  <w:r>
                    <w:br/>
                  </w:r>
                  <w:r>
                    <w:br/>
                  </w:r>
                </w:p>
                <w:p>
                  <w:pPr>
                    <w:pStyle w:val="BodyText"/>
                  </w:pPr>
                  <w:r>
                    <w:t xml:space="preserve"> </w:t>
                  </w:r>
                </w:p>
                <w:p>
                  <w:pPr>
                    <w:pStyle w:val="BodyText"/>
                  </w:pPr>
                  <w:r>
                    <w:br/>
                  </w:r>
                  <w:r>
                    <w:br/>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4.1.9 Do emergency orders also extend protection for abuse and intimidation to family members of the victim?</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Yes. A complainant may stipulate persons whom are also affected by the domestic violence in Form 2 (discussed in more detail below). Any conduct prohibited under the order that is committed by the respondent toward such a person will constitute a breach of the order and may lead to the arrest of the respondent.</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4.1.10 How long do the orders last?</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An Interim Protection Order granted under the DVA will lapse if it is not made a final order of court. Once a Final Protection Order is granted under the DVA, it will not expire after a specific time. However, either the respondent or the complainant may apply to the court for the variation or setting aside of a protection order.</w:t>
                  </w:r>
                  <w:r>
                    <w:rPr>
                      <w:color w:val="8DB3E2"/>
                      <w:vertAlign w:val="superscript"/>
                    </w:rPr>
                    <w:t xml:space="preserve">[57]</w:t>
                  </w:r>
                </w:p>
                <w:p>
                  <w:pPr>
                    <w:pStyle w:val="BodyText"/>
                  </w:pPr>
                  <w:r>
                    <w:t xml:space="preserve">A protection order under the PFH Act remains effective for five years or such further period as may be deemed appropriate by a court.</w:t>
                  </w:r>
                  <w:r>
                    <w:rPr>
                      <w:color w:val="8DB3E2"/>
                      <w:vertAlign w:val="superscript"/>
                    </w:rPr>
                    <w:t xml:space="preserve">[58]</w:t>
                  </w:r>
                </w:p>
                <w:p>
                  <w:pPr>
                    <w:pStyle w:val="BodyText"/>
                  </w:pPr>
                  <w:r>
                    <w:t xml:space="preserve"> </w:t>
                  </w:r>
                </w:p>
                <w:p>
                  <w:pPr>
                    <w:pStyle w:val="BodyText"/>
                  </w:pPr>
                  <w:r>
                    <w:br/>
                  </w:r>
                  <w:r>
                    <w:br/>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4.1.11 Please provide any data or hyperlinks to government or NGO websites that include information on how often civil protection orders are issued, and any relevant demographics information, e.g., police reports, convictions, etc.</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hyperlink w:history="true" r:id="Rffb768ee10084344">
                    <w:r>
                      <w:rPr>
                        <w:rStyle w:val="Hyperlink"/>
                        <w:color w:val="002856"/>
                      </w:rPr>
                      <w:t xml:space="preserve">https://www.justice.gov.za/docs/InfoSheets/2014-protection_order.pdf</w:t>
                    </w:r>
                  </w:hyperlink>
                </w:p>
                <w:p>
                  <w:pPr>
                    <w:pStyle w:val="BodyText"/>
                  </w:pPr>
                  <w:hyperlink w:history="true" r:id="R238d417f4f544519">
                    <w:r>
                      <w:rPr>
                        <w:rStyle w:val="Hyperlink"/>
                        <w:color w:val="002856"/>
                      </w:rPr>
                      <w:t xml:space="preserve">https://www.justice.gov.za/vg/dv-faq.html</w:t>
                    </w:r>
                  </w:hyperlink>
                </w:p>
                <w:p>
                  <w:pPr>
                    <w:pStyle w:val="BodyText"/>
                  </w:pPr>
                  <w:hyperlink w:history="true" r:id="Rf7755edad3e24258">
                    <w:r>
                      <w:rPr>
                        <w:rStyle w:val="Hyperlink"/>
                        <w:color w:val="002856"/>
                      </w:rPr>
                      <w:t xml:space="preserve">https://www.legalwise.co.za/help-yourself/quicklaw-guides/domestic-violence-protection-orders</w:t>
                    </w:r>
                  </w:hyperlink>
                </w:p>
                <w:p>
                  <w:pPr>
                    <w:pStyle w:val="BodyText"/>
                  </w:pPr>
                  <w:hyperlink w:history="true" r:id="R3cc0e728c55f48d9">
                    <w:r>
                      <w:rPr>
                        <w:rStyle w:val="Hyperlink"/>
                        <w:color w:val="002856"/>
                      </w:rPr>
                      <w:t xml:space="preserve">https://www.statssa.gov.za/publications/Report-03-40-05/Report-03-40-05June2018.pdf</w:t>
                    </w:r>
                  </w:hyperlink>
                </w:p>
                <w:p>
                  <w:pPr>
                    <w:pStyle w:val="BodyText"/>
                  </w:pPr>
                  <w:hyperlink w:history="true" r:id="R3b96ec2a03944567">
                    <w:r>
                      <w:rPr>
                        <w:rStyle w:val="Hyperlink"/>
                        <w:color w:val="002856"/>
                      </w:rPr>
                      <w:t xml:space="preserve">https://www.saps.gov.za/services/protection_order.php</w:t>
                    </w:r>
                  </w:hyperlink>
                </w:p>
                <w:p>
                  <w:pPr>
                    <w:pStyle w:val="BodyText"/>
                  </w:pPr>
                  <w:r>
                    <w:br/>
                  </w:r>
                  <w:r>
                    <w:br/>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4.2 Steps for receiving a protective order </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pPr>
                    <w:pBdr>
                      <w:top w:val="single" w:sz="4"/>
                    </w:pBdr>
                  </w:pPr>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4.2.1 What documentation is needed to obtain a civil protection order?</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The court</w:t>
                  </w:r>
                  <w:r>
                    <w:rPr>
                      <w:color w:val="8DB3E2"/>
                      <w:vertAlign w:val="superscript"/>
                    </w:rPr>
                    <w:t xml:space="preserve">[59]</w:t>
                  </w:r>
                </w:p>
                <w:p>
                  <w:pPr>
                    <w:pStyle w:val="BodyText"/>
                  </w:pPr>
                  <w:pPr>
                    <w:pStyle w:val="ListParagraph"/>
                    <w:numPr>
                      <w:ilvl w:val="0"/>
                      <w:numId w:val="29"/>
                    </w:numPr>
                  </w:pPr>
                  <w:r>
                    <w:t xml:space="preserve">For a protection order, the victim must approach a magistrates' court.</w:t>
                  </w:r>
                </w:p>
                <w:p>
                  <w:pPr>
                    <w:pStyle w:val="BodyText"/>
                  </w:pPr>
                  <w:pPr>
                    <w:pStyle w:val="ListParagraph"/>
                    <w:numPr>
                      <w:ilvl w:val="0"/>
                      <w:numId w:val="29"/>
                    </w:numPr>
                  </w:pPr>
                  <w:r>
                    <w:t xml:space="preserve">The victim will receive a form from the clerk of the court to complete (please see more information below).</w:t>
                  </w:r>
                </w:p>
                <w:p>
                  <w:pPr>
                    <w:pStyle w:val="BodyText"/>
                  </w:pPr>
                  <w:pPr>
                    <w:pStyle w:val="ListParagraph"/>
                    <w:numPr>
                      <w:ilvl w:val="0"/>
                      <w:numId w:val="29"/>
                    </w:numPr>
                  </w:pPr>
                  <w:r>
                    <w:t xml:space="preserve">At this time, the clerk of the court will ascertain whether the victim or anyone else:</w:t>
                  </w:r>
                </w:p>
                <w:p>
                  <w:pPr>
                    <w:pStyle w:val="BodyText"/>
                  </w:pPr>
                  <w:pPr>
                    <w:pStyle w:val="ListParagraph"/>
                    <w:numPr>
                      <w:ilvl w:val="0"/>
                      <w:numId w:val="30"/>
                    </w:numPr>
                  </w:pPr>
                  <w:r>
                    <w:t xml:space="preserve">is in immediate danger of serious physical harm</w:t>
                  </w:r>
                </w:p>
                <w:p>
                  <w:pPr>
                    <w:pStyle w:val="BodyText"/>
                  </w:pPr>
                  <w:pPr>
                    <w:pStyle w:val="ListParagraph"/>
                    <w:numPr>
                      <w:ilvl w:val="0"/>
                      <w:numId w:val="30"/>
                    </w:numPr>
                  </w:pPr>
                  <w:r>
                    <w:t xml:space="preserve">needs a place of safety</w:t>
                  </w:r>
                </w:p>
                <w:p>
                  <w:pPr>
                    <w:pStyle w:val="BodyText"/>
                  </w:pPr>
                  <w:pPr>
                    <w:pStyle w:val="ListParagraph"/>
                    <w:numPr>
                      <w:ilvl w:val="0"/>
                      <w:numId w:val="30"/>
                    </w:numPr>
                  </w:pPr>
                  <w:r>
                    <w:t xml:space="preserve">needs medical attention</w:t>
                  </w:r>
                </w:p>
                <w:p>
                  <w:pPr>
                    <w:pStyle w:val="BodyText"/>
                  </w:pPr>
                  <w:pPr>
                    <w:pStyle w:val="ListParagraph"/>
                    <w:numPr>
                      <w:ilvl w:val="0"/>
                      <w:numId w:val="30"/>
                    </w:numPr>
                  </w:pPr>
                  <w:r>
                    <w:t xml:space="preserve">needs counselling</w:t>
                  </w:r>
                </w:p>
                <w:p>
                  <w:pPr>
                    <w:pStyle w:val="BodyText"/>
                  </w:pPr>
                  <w:pPr>
                    <w:pStyle w:val="ListParagraph"/>
                    <w:numPr>
                      <w:ilvl w:val="0"/>
                      <w:numId w:val="31"/>
                    </w:numPr>
                  </w:pPr>
                  <w:r>
                    <w:t xml:space="preserve">If the matter is urgent:</w:t>
                  </w:r>
                </w:p>
                <w:p>
                  <w:pPr>
                    <w:pStyle w:val="BodyText"/>
                  </w:pPr>
                  <w:pPr>
                    <w:pStyle w:val="ListParagraph"/>
                    <w:numPr>
                      <w:ilvl w:val="0"/>
                      <w:numId w:val="32"/>
                    </w:numPr>
                  </w:pPr>
                  <w:r>
                    <w:t xml:space="preserve">the clerk of the court will indicate this to the magistrate who can then grant an Interim Protection Order without notice to the respondent</w:t>
                  </w:r>
                </w:p>
                <w:p>
                  <w:pPr>
                    <w:pStyle w:val="BodyText"/>
                  </w:pPr>
                  <w:pPr>
                    <w:pStyle w:val="ListParagraph"/>
                    <w:numPr>
                      <w:ilvl w:val="0"/>
                      <w:numId w:val="32"/>
                    </w:numPr>
                  </w:pPr>
                  <w:r>
                    <w:t xml:space="preserve">the court will then set another hearing on a future day to give the respondent an opportunity to oppose the protection order and state his case</w:t>
                  </w:r>
                </w:p>
                <w:p>
                  <w:pPr>
                    <w:pStyle w:val="BodyText"/>
                  </w:pPr>
                  <w:pPr>
                    <w:pStyle w:val="ListParagraph"/>
                    <w:numPr>
                      <w:ilvl w:val="0"/>
                      <w:numId w:val="32"/>
                    </w:numPr>
                  </w:pPr>
                  <w:r>
                    <w:t xml:space="preserve">the complainant may then be required to attend this hearing and give evidence</w:t>
                  </w:r>
                </w:p>
                <w:p>
                  <w:pPr>
                    <w:pStyle w:val="BodyText"/>
                  </w:pPr>
                  <w:pPr>
                    <w:pStyle w:val="ListParagraph"/>
                    <w:numPr>
                      <w:ilvl w:val="0"/>
                      <w:numId w:val="33"/>
                    </w:numPr>
                  </w:pPr>
                  <w:r>
                    <w:t xml:space="preserve">If the matter is </w:t>
                  </w:r>
                  <w:r>
                    <w:rPr>
                      <w:b/>
                    </w:rPr>
                    <w:t xml:space="preserve">not urgent</w:t>
                  </w:r>
                  <w:r>
                    <w:t xml:space="preserve">:</w:t>
                  </w:r>
                </w:p>
                <w:p>
                  <w:pPr>
                    <w:pStyle w:val="BodyText"/>
                  </w:pPr>
                  <w:pPr>
                    <w:pStyle w:val="ListParagraph"/>
                    <w:numPr>
                      <w:ilvl w:val="0"/>
                      <w:numId w:val="34"/>
                    </w:numPr>
                  </w:pPr>
                  <w:r>
                    <w:t xml:space="preserve">a date will be set for the hearing. A notice to show cause will be served on the respondent providing the date for the hearing. The complainant and respondent may be required to attend a hearing at the court to state their cases.</w:t>
                  </w:r>
                </w:p>
                <w:p>
                  <w:pPr>
                    <w:pStyle w:val="BodyText"/>
                  </w:pPr>
                  <w:r>
                    <w:t xml:space="preserve">In both cases, the court will consider all of the evidence before it. The court will use this evidence to decide whether to grant a protection order.</w:t>
                  </w:r>
                </w:p>
                <w:p>
                  <w:pPr>
                    <w:pStyle w:val="BodyText"/>
                  </w:pPr>
                  <w:r>
                    <w:t xml:space="preserve">A complainant will be required to complete a </w:t>
                  </w:r>
                  <w:hyperlink w:history="true" r:id="R58d6e722fd5243e3">
                    <w:r>
                      <w:rPr>
                        <w:rStyle w:val="Hyperlink"/>
                        <w:color w:val="000000"/>
                      </w:rPr>
                      <w:t xml:space="preserve">Form 2</w:t>
                    </w:r>
                  </w:hyperlink>
                  <w:r>
                    <w:t xml:space="preserve"> under the terms of the regulations to the DVA, which include making a sworn statement as to the act(s) of domestic violence committed by the respondent.</w:t>
                  </w:r>
                  <w:r>
                    <w:rPr>
                      <w:color w:val="8DB3E2"/>
                      <w:vertAlign w:val="superscript"/>
                    </w:rPr>
                    <w:t xml:space="preserve">[60]</w:t>
                  </w:r>
                  <w:r>
                    <w:rPr>
                      <w:vertAlign w:val="superscript"/>
                    </w:rPr>
                    <w:t xml:space="preserve"> </w:t>
                  </w:r>
                  <w:r>
                    <w:t xml:space="preserve">This form may be completed at a police station, at court upon making the application or before making the application by downloading it from the Department of Justice's website.</w:t>
                  </w:r>
                  <w:r>
                    <w:rPr>
                      <w:color w:val="8DB3E2"/>
                      <w:vertAlign w:val="superscript"/>
                    </w:rPr>
                    <w:t xml:space="preserve">[61]</w:t>
                  </w:r>
                </w:p>
                <w:p>
                  <w:pPr>
                    <w:pStyle w:val="BodyText"/>
                  </w:pPr>
                  <w:r>
                    <w:t xml:space="preserve">In the instance of an interested person applying on behalf of a complainant, written consent of the complainant, as well as the above-mentioned affidavit, is required.</w:t>
                  </w:r>
                </w:p>
                <w:p>
                  <w:pPr>
                    <w:pStyle w:val="BodyText"/>
                  </w:pPr>
                  <w:r>
                    <w:t xml:space="preserve">A complainant making an application will need to provide her particulars, such as name, ID number or date of birth, home address and work address (where applicable), contact number(s), occupation (if applicable) and the nature of the relationship with the respondent.</w:t>
                  </w:r>
                  <w:r>
                    <w:rPr>
                      <w:color w:val="8DB3E2"/>
                      <w:vertAlign w:val="superscript"/>
                    </w:rPr>
                    <w:t xml:space="preserve">[62]</w:t>
                  </w:r>
                  <w:r>
                    <w:rPr>
                      <w:vertAlign w:val="superscript"/>
                    </w:rPr>
                    <w:t xml:space="preserve"> </w:t>
                  </w:r>
                  <w:r>
                    <w:t xml:space="preserve">A person applying on behalf of another should have the same information about the complainant available, as well as know and be able to fill out his/her own particulars as described above.</w:t>
                  </w:r>
                </w:p>
                <w:p>
                  <w:pPr>
                    <w:pStyle w:val="BodyText"/>
                  </w:pPr>
                  <w:r>
                    <w:t xml:space="preserve">It is important for a complainant to have all or some of the particulars of the respondent available when making an application for a protection order. These particulars include the respondent's name, ID number/date of birth, home and work addresses and contact numbers.</w:t>
                  </w:r>
                  <w:r>
                    <w:rPr>
                      <w:color w:val="8DB3E2"/>
                      <w:vertAlign w:val="superscript"/>
                    </w:rPr>
                    <w:t xml:space="preserve">[63]</w:t>
                  </w:r>
                  <w:r>
                    <w:t xml:space="preserve"> This information is important for the service of documents or the arrest of the respondent in certain circumstances, which are crucial in bringing the respondent to court and making the respondent aware of the order.</w:t>
                  </w:r>
                </w:p>
                <w:p>
                  <w:pPr>
                    <w:pStyle w:val="BodyText"/>
                  </w:pPr>
                  <w:r>
                    <w:t xml:space="preserve">The complainant will also have to attest to the truth of the facts surrounding the domestic violence, and provide her own relevant personal information and the personal information of the respondent. No documentation is required when going to a court or police station to apply for the order, provided the victim is able to furnish the required information off hand.</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4.2.2 Does the victim need to attend a hearing?</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Ordinarily, the applications are heard on the written affidavits of the complainant, but a respondent has an opportunity to make representations before a magistrate or judge in the presence of the complainant.</w:t>
                  </w:r>
                  <w:r>
                    <w:rPr>
                      <w:color w:val="8DB3E2"/>
                      <w:vertAlign w:val="superscript"/>
                    </w:rPr>
                    <w:t xml:space="preserve">[64]</w:t>
                  </w:r>
                  <w:r>
                    <w:t xml:space="preserve"> A complainant's legal representative may appear in court on her behalf, as the complainant is not necessarily required to make representations in court. A complainant may be subpoenaed to appear in front of the court, and should a complainant not comply, the application may be regarded as a nonappearance.</w:t>
                  </w:r>
                </w:p>
                <w:p>
                  <w:pPr>
                    <w:pStyle w:val="BodyText"/>
                  </w:pPr>
                  <w:r>
                    <w:t xml:space="preserve">However, the court may exclude any persons from the proceedings if it is satisfied that it is in the interests of justice to do so.</w:t>
                  </w:r>
                  <w:r>
                    <w:rPr>
                      <w:color w:val="8DB3E2"/>
                      <w:vertAlign w:val="superscript"/>
                    </w:rPr>
                    <w:t xml:space="preserve">[65]</w:t>
                  </w:r>
                  <w:r>
                    <w:rPr>
                      <w:vertAlign w:val="superscript"/>
                    </w:rPr>
                    <w:t xml:space="preserve"> </w:t>
                  </w:r>
                  <w:r>
                    <w:t xml:space="preserve">This may include a scenario where, for example, it would be too traumatic for the complainant to appear or subject the complainant to potential intimidation. Persons who bring applications on behalf of a complainant are permitted to attend proceedings, but not necessarily to the exclusion of the victim.</w:t>
                  </w:r>
                  <w:r>
                    <w:rPr>
                      <w:color w:val="8DB3E2"/>
                      <w:vertAlign w:val="superscript"/>
                    </w:rPr>
                    <w:t xml:space="preserve">[66]</w:t>
                  </w:r>
                  <w:r>
                    <w:t xml:space="preserve"> The court also has the power to hear proceedings </w:t>
                  </w:r>
                  <w:r>
                    <w:rPr>
                      <w:i/>
                    </w:rPr>
                    <w:t xml:space="preserve">in camera</w:t>
                  </w:r>
                  <w:r>
                    <w:t xml:space="preserve">, such as in an office in the court building as opposed to open court.</w:t>
                  </w:r>
                  <w:r>
                    <w:rPr>
                      <w:color w:val="8DB3E2"/>
                      <w:vertAlign w:val="superscript"/>
                    </w:rPr>
                    <w:t xml:space="preserve">[67]</w:t>
                  </w:r>
                </w:p>
                <w:p>
                  <w:pPr>
                    <w:pStyle w:val="BodyText"/>
                  </w:pPr>
                  <w:r>
                    <w:t xml:space="preserve">This is an example of the DVA creating measures that protect women's privacy and safety in the court process as per Recommendation 35.</w:t>
                  </w:r>
                  <w:r>
                    <w:rPr>
                      <w:color w:val="8DB3E2"/>
                      <w:vertAlign w:val="superscript"/>
                    </w:rPr>
                    <w:t xml:space="preserve">[68]</w:t>
                  </w:r>
                  <w:r>
                    <w:t xml:space="preserve"> The protection of a complainant's privacy by allowing </w:t>
                  </w:r>
                  <w:r>
                    <w:rPr>
                      <w:i/>
                    </w:rPr>
                    <w:t xml:space="preserve">in camera </w:t>
                  </w:r>
                  <w:r>
                    <w:t xml:space="preserve">proceedings, promotes access to courts for otherwise frightened victims who may ordinarily shy away from formal legal action.</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4.2.3 Can you request remedies?</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Yes. A court has very broad powers as to what it can order as relief,</w:t>
                  </w:r>
                  <w:r>
                    <w:rPr>
                      <w:color w:val="8DB3E2"/>
                      <w:vertAlign w:val="superscript"/>
                    </w:rPr>
                    <w:t xml:space="preserve">[69]</w:t>
                  </w:r>
                  <w:r>
                    <w:t xml:space="preserve"> and a complainant may stipulate the relief sought in her application.</w:t>
                  </w:r>
                  <w:r>
                    <w:br/>
                  </w:r>
                  <w:r>
                    <w:br/>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4.2.4 Are there time limits?</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No. The DVA does not make provision for any time limits to bring an application, except insofar as a Return Date for the hearing is concerned. The date for the hearing on whether a Final Protection Order should be granted may not be less than 10 days after service of the interim order or a notice of the application for a final order has been effected on the respondent.</w:t>
                  </w:r>
                  <w:r>
                    <w:rPr>
                      <w:color w:val="8DB3E2"/>
                      <w:vertAlign w:val="superscript"/>
                    </w:rPr>
                    <w:t xml:space="preserve">[70]</w:t>
                  </w:r>
                </w:p>
                <w:p>
                  <w:pPr>
                    <w:pStyle w:val="BodyText"/>
                  </w:pPr>
                  <w:r>
                    <w:br/>
                  </w:r>
                  <w:r>
                    <w:br/>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4.2.5 Are there different rules in emergencies?</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Yes. Please see response above, relating to Interim and Final Protection Orders. Interim Protection Orders can be granted in emergencies,</w:t>
                  </w:r>
                  <w:r>
                    <w:rPr>
                      <w:color w:val="8DB3E2"/>
                      <w:vertAlign w:val="superscript"/>
                    </w:rPr>
                    <w:t xml:space="preserve">[71]</w:t>
                  </w:r>
                  <w:r>
                    <w:rPr>
                      <w:vertAlign w:val="superscript"/>
                    </w:rPr>
                    <w:t xml:space="preserve"> </w:t>
                  </w:r>
                  <w:r>
                    <w:t xml:space="preserve">and applications can be brought after court hours where necessary.</w:t>
                  </w:r>
                  <w:r>
                    <w:rPr>
                      <w:color w:val="8DB3E2"/>
                      <w:vertAlign w:val="superscript"/>
                    </w:rPr>
                    <w:t xml:space="preserve">[72]</w:t>
                  </w:r>
                </w:p>
                <w:p>
                  <w:pPr>
                    <w:pStyle w:val="BodyText"/>
                  </w:pPr>
                  <w:r>
                    <w:t xml:space="preserve">Further, a peace officer</w:t>
                  </w:r>
                  <w:r>
                    <w:rPr>
                      <w:color w:val="8DB3E2"/>
                      <w:vertAlign w:val="superscript"/>
                    </w:rPr>
                    <w:t xml:space="preserve">[73]</w:t>
                  </w:r>
                  <w:r>
                    <w:t xml:space="preserve"> at the scene of a domestic violence incident may arrest a respondent without a warrant if the peace officer reasonably suspects the respondent of having committed an offense containing an element of violence against the complainant.</w:t>
                  </w:r>
                  <w:r>
                    <w:rPr>
                      <w:color w:val="8DB3E2"/>
                      <w:vertAlign w:val="superscript"/>
                    </w:rPr>
                    <w:t xml:space="preserve">[74]</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4.3	Judicial discretion</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pPr>
                    <w:pBdr>
                      <w:top w:val="single" w:sz="4"/>
                    </w:pBdr>
                  </w:pPr>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4.3.1 What discretion does a judge have in granting a civil protection order or other protective orders?</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Under the terms of the DVA, as soon as is reasonably possible, the court </w:t>
                  </w:r>
                  <w:r>
                    <w:rPr>
                      <w:b/>
                    </w:rPr>
                    <w:t xml:space="preserve">must</w:t>
                  </w:r>
                  <w:r>
                    <w:t xml:space="preserve"> consider an application for a protective order and may, in considering such application, consider such additional evidence as it deems fit, including "oral evidence or evidence by affidavit."</w:t>
                  </w:r>
                  <w:r>
                    <w:rPr>
                      <w:color w:val="8DB3E2"/>
                      <w:vertAlign w:val="superscript"/>
                    </w:rPr>
                    <w:t xml:space="preserve">[75]</w:t>
                  </w:r>
                </w:p>
                <w:p>
                  <w:pPr>
                    <w:pStyle w:val="BodyText"/>
                  </w:pPr>
                  <w:r>
                    <w:t xml:space="preserve">Notwithstanding the fact that the respondent may not have been given notice of the proceedings against him, the court </w:t>
                  </w:r>
                  <w:r>
                    <w:rPr>
                      <w:b/>
                    </w:rPr>
                    <w:t xml:space="preserve">must</w:t>
                  </w:r>
                  <w:r>
                    <w:t xml:space="preserve"> nevertheless issue an Interim Protection Order against the respondent if there is </w:t>
                  </w:r>
                  <w:r>
                    <w:rPr>
                      <w:i/>
                    </w:rPr>
                    <w:t xml:space="preserve">prima facie</w:t>
                  </w:r>
                  <w:r>
                    <w:t xml:space="preserve"> (apparent) evidence that the respondent is committing or has committed an act of domestic violence</w:t>
                  </w:r>
                  <w:r>
                    <w:rPr>
                      <w:color w:val="8DB3E2"/>
                      <w:vertAlign w:val="superscript"/>
                    </w:rPr>
                    <w:t xml:space="preserve">[76]</w:t>
                  </w:r>
                  <w:r>
                    <w:rPr>
                      <w:vertAlign w:val="superscript"/>
                    </w:rPr>
                    <w:t xml:space="preserve"> </w:t>
                  </w:r>
                  <w:r>
                    <w:t xml:space="preserve">and undue hardship may be suffered by the complainant as a result of such domestic violence if a protection order is not immediately issued.</w:t>
                  </w:r>
                  <w:r>
                    <w:rPr>
                      <w:color w:val="8DB3E2"/>
                      <w:vertAlign w:val="superscript"/>
                    </w:rPr>
                    <w:t xml:space="preserve">[77]</w:t>
                  </w:r>
                </w:p>
                <w:p>
                  <w:pPr>
                    <w:pStyle w:val="BodyText"/>
                  </w:pPr>
                  <w:r>
                    <w:t xml:space="preserve">Where an Interim Protection Order is not issued in accordance with the above-mentioned procedure, and the respondent does not appear before the court on the Return Date,</w:t>
                  </w:r>
                  <w:r>
                    <w:rPr>
                      <w:color w:val="8DB3E2"/>
                      <w:vertAlign w:val="superscript"/>
                    </w:rPr>
                    <w:t xml:space="preserve">[78]</w:t>
                  </w:r>
                  <w:r>
                    <w:rPr>
                      <w:vertAlign w:val="superscript"/>
                    </w:rPr>
                    <w:t xml:space="preserve"> </w:t>
                  </w:r>
                  <w:r>
                    <w:t xml:space="preserve">the court </w:t>
                  </w:r>
                  <w:r>
                    <w:rPr>
                      <w:b/>
                    </w:rPr>
                    <w:t xml:space="preserve">must</w:t>
                  </w:r>
                  <w:r>
                    <w:t xml:space="preserve"> issue a Final Protection Order in the prescribed form if the application by the victim contains </w:t>
                  </w:r>
                  <w:r>
                    <w:rPr>
                      <w:i/>
                    </w:rPr>
                    <w:t xml:space="preserve">prima facie</w:t>
                  </w:r>
                  <w:r>
                    <w:t xml:space="preserve"> evidence that the respondent has committed or is committing an act of violence.</w:t>
                  </w:r>
                  <w:r>
                    <w:rPr>
                      <w:color w:val="8DB3E2"/>
                      <w:vertAlign w:val="superscript"/>
                    </w:rPr>
                    <w:t xml:space="preserve">[79]</w:t>
                  </w:r>
                  <w:r>
                    <w:t xml:space="preserve"> If, however, the respondent does appear on the Return Date in order to oppose the issuing of a protection order, the court is required to hear the matter and consider the evidence provided by the abuser. After hearing the matter, the court </w:t>
                  </w:r>
                  <w:r>
                    <w:rPr>
                      <w:b/>
                    </w:rPr>
                    <w:t xml:space="preserve">must</w:t>
                  </w:r>
                  <w:r>
                    <w:t xml:space="preserve"> issue a protection order in the prescribed form if it finds on a balance of probabilities that the respondent has committed or is committing an act of domestic violence.</w:t>
                  </w:r>
                  <w:r>
                    <w:rPr>
                      <w:color w:val="8DB3E2"/>
                      <w:vertAlign w:val="superscript"/>
                    </w:rPr>
                    <w:t xml:space="preserve">[80]</w:t>
                  </w:r>
                </w:p>
                <w:p>
                  <w:pPr>
                    <w:pStyle w:val="BodyText"/>
                  </w:pPr>
                  <w:r>
                    <w:t xml:space="preserve">Once the court has determined that a protection order must be issued against the respondent (in accordance with the provisions above), the court is granted various discretionary powers in determining the </w:t>
                  </w:r>
                  <w:r>
                    <w:rPr>
                      <w:b/>
                    </w:rPr>
                    <w:t xml:space="preserve">nature and extent</w:t>
                  </w:r>
                  <w:r>
                    <w:rPr>
                      <w:i/>
                    </w:rPr>
                    <w:t xml:space="preserve"> </w:t>
                  </w:r>
                  <w:r>
                    <w:t xml:space="preserve">of the protection order.</w:t>
                  </w:r>
                  <w:r>
                    <w:rPr>
                      <w:color w:val="8DB3E2"/>
                      <w:vertAlign w:val="superscript"/>
                    </w:rPr>
                    <w:t xml:space="preserve">[81]</w:t>
                  </w:r>
                  <w:r>
                    <w:t xml:space="preserve"> By means of granting a protection order (interim or otherwise), the court may prohibit the respondent from:</w:t>
                  </w:r>
                </w:p>
                <w:p>
                  <w:pPr>
                    <w:pStyle w:val="BodyText"/>
                  </w:pPr>
                  <w:pPr>
                    <w:pStyle w:val="ListParagraph"/>
                    <w:numPr>
                      <w:ilvl w:val="0"/>
                      <w:numId w:val="28"/>
                    </w:numPr>
                  </w:pPr>
                  <w:r>
                    <w:t xml:space="preserve">committing any act of domestic violence</w:t>
                  </w:r>
                </w:p>
                <w:p>
                  <w:pPr>
                    <w:pStyle w:val="BodyText"/>
                  </w:pPr>
                  <w:pPr>
                    <w:pStyle w:val="ListParagraph"/>
                    <w:numPr>
                      <w:ilvl w:val="0"/>
                      <w:numId w:val="28"/>
                    </w:numPr>
                  </w:pPr>
                  <w:r>
                    <w:t xml:space="preserve">enlisting the help of another person to commit any act of domestic violence</w:t>
                  </w:r>
                </w:p>
                <w:p>
                  <w:pPr>
                    <w:pStyle w:val="BodyText"/>
                  </w:pPr>
                  <w:pPr>
                    <w:pStyle w:val="ListParagraph"/>
                    <w:numPr>
                      <w:ilvl w:val="0"/>
                      <w:numId w:val="28"/>
                    </w:numPr>
                  </w:pPr>
                  <w:r>
                    <w:t xml:space="preserve">entering a residence shared by the complainant and the respondent</w:t>
                  </w:r>
                </w:p>
                <w:p>
                  <w:pPr>
                    <w:pStyle w:val="BodyText"/>
                  </w:pPr>
                  <w:pPr>
                    <w:pStyle w:val="ListParagraph"/>
                    <w:numPr>
                      <w:ilvl w:val="0"/>
                      <w:numId w:val="28"/>
                    </w:numPr>
                  </w:pPr>
                  <w:r>
                    <w:t xml:space="preserve">entering a specified part of such shared residence</w:t>
                  </w:r>
                </w:p>
                <w:p>
                  <w:pPr>
                    <w:pStyle w:val="BodyText"/>
                  </w:pPr>
                  <w:pPr>
                    <w:pStyle w:val="ListParagraph"/>
                    <w:numPr>
                      <w:ilvl w:val="0"/>
                      <w:numId w:val="28"/>
                    </w:numPr>
                  </w:pPr>
                  <w:r>
                    <w:t xml:space="preserve">entering the complainant's residence</w:t>
                  </w:r>
                </w:p>
                <w:p>
                  <w:pPr>
                    <w:pStyle w:val="BodyText"/>
                  </w:pPr>
                  <w:pPr>
                    <w:pStyle w:val="ListParagraph"/>
                    <w:numPr>
                      <w:ilvl w:val="0"/>
                      <w:numId w:val="28"/>
                    </w:numPr>
                  </w:pPr>
                  <w:r>
                    <w:t xml:space="preserve">entering the complainant's place of employment</w:t>
                  </w:r>
                </w:p>
                <w:p>
                  <w:pPr>
                    <w:pStyle w:val="BodyText"/>
                  </w:pPr>
                  <w:pPr>
                    <w:pStyle w:val="ListParagraph"/>
                    <w:numPr>
                      <w:ilvl w:val="0"/>
                      <w:numId w:val="28"/>
                    </w:numPr>
                  </w:pPr>
                  <w:r>
                    <w:t xml:space="preserve">preventing the complainant who ordinarily lives or lived in a shared residence as contemplated above from entering or remaining in the shared residence or a specified part of the shared residence</w:t>
                  </w:r>
                </w:p>
                <w:p>
                  <w:pPr>
                    <w:pStyle w:val="BodyText"/>
                  </w:pPr>
                  <w:pPr>
                    <w:pStyle w:val="ListParagraph"/>
                    <w:numPr>
                      <w:ilvl w:val="0"/>
                      <w:numId w:val="28"/>
                    </w:numPr>
                  </w:pPr>
                  <w:r>
                    <w:t xml:space="preserve">committing any other act as specified in the protection order</w:t>
                  </w:r>
                  <w:r>
                    <w:rPr>
                      <w:color w:val="8DB3E2"/>
                      <w:vertAlign w:val="superscript"/>
                    </w:rPr>
                    <w:t xml:space="preserve">[82]</w:t>
                  </w:r>
                </w:p>
                <w:p>
                  <w:pPr>
                    <w:pStyle w:val="BodyText"/>
                  </w:pPr>
                  <w:r>
                    <w:t xml:space="preserve">Where the court prohibits the respondent from entering a residence shared with the complainant, the court may impose on the abuser obligations pertaining to the discharge of rent or mortgage payments, having regard to the financial needs and resources of the complainant and the respondent.</w:t>
                  </w:r>
                  <w:r>
                    <w:rPr>
                      <w:color w:val="8DB3E2"/>
                      <w:vertAlign w:val="superscript"/>
                    </w:rPr>
                    <w:t xml:space="preserve">[83]</w:t>
                  </w:r>
                  <w:r>
                    <w:t xml:space="preserve"> However, it has been suggested that a court may be hesitant to prohibit a respondent from entering the residence shared with the complainant, particularly where the abuser is legally entitled to occupy the residence by virtue of his ownership thereof and in some instances, such an order may be considered tantamount to an eviction.</w:t>
                  </w:r>
                  <w:r>
                    <w:rPr>
                      <w:color w:val="8DB3E2"/>
                      <w:vertAlign w:val="superscript"/>
                    </w:rPr>
                    <w:t xml:space="preserve">[84]</w:t>
                  </w:r>
                </w:p>
                <w:p>
                  <w:pPr>
                    <w:pStyle w:val="BodyText"/>
                  </w:pPr>
                  <w:r>
                    <w:t xml:space="preserve">In addition, the court </w:t>
                  </w:r>
                  <w:r>
                    <w:rPr>
                      <w:b/>
                    </w:rPr>
                    <w:t xml:space="preserve">may </w:t>
                  </w:r>
                  <w:r>
                    <w:t xml:space="preserve">impose "any additional conditions which it deems reasonably necessary to protect and provide for the safety, health or wellbeing of the complainant,"</w:t>
                  </w:r>
                  <w:r>
                    <w:rPr>
                      <w:color w:val="8DB3E2"/>
                      <w:vertAlign w:val="superscript"/>
                    </w:rPr>
                    <w:t xml:space="preserve">[85]</w:t>
                  </w:r>
                  <w:r>
                    <w:rPr>
                      <w:vertAlign w:val="superscript"/>
                    </w:rPr>
                    <w:t xml:space="preserve"> </w:t>
                  </w:r>
                  <w:r>
                    <w:t xml:space="preserve">including an order to seize any firearms or dangerous weapons in the possession of the respondent and to appoint a peace officer</w:t>
                  </w:r>
                  <w:r>
                    <w:rPr>
                      <w:color w:val="8DB3E2"/>
                      <w:vertAlign w:val="superscript"/>
                    </w:rPr>
                    <w:t xml:space="preserve">[86]</w:t>
                  </w:r>
                  <w:r>
                    <w:rPr>
                      <w:vertAlign w:val="superscript"/>
                    </w:rPr>
                    <w:t xml:space="preserve"> </w:t>
                  </w:r>
                  <w:r>
                    <w:t xml:space="preserve">to accompany the complainant.</w:t>
                  </w:r>
                  <w:r>
                    <w:rPr>
                      <w:color w:val="8DB3E2"/>
                      <w:vertAlign w:val="superscript"/>
                    </w:rPr>
                    <w:t xml:space="preserve">[87]</w:t>
                  </w:r>
                  <w:r>
                    <w:rPr>
                      <w:vertAlign w:val="superscript"/>
                    </w:rPr>
                    <w:t xml:space="preserve"> </w:t>
                  </w:r>
                  <w:r>
                    <w:t xml:space="preserve">The discretionary powers of the court "must be interpreted purposively and generously to promote the rights to dignity, privacy, bodily and psychological integrity of women."</w:t>
                  </w:r>
                  <w:r>
                    <w:rPr>
                      <w:color w:val="8DB3E2"/>
                      <w:vertAlign w:val="superscript"/>
                    </w:rPr>
                    <w:t xml:space="preserve">[88]</w:t>
                  </w:r>
                </w:p>
                <w:p>
                  <w:pPr>
                    <w:pStyle w:val="BodyText"/>
                  </w:pPr>
                  <w:r>
                    <w:t xml:space="preserve">The court is further empowered to exercise its discretion by refusing the respondent contact with any child or order contact with any child on such conditions as it may consider appropriate if the court considers it in the best interest of the child to do so.</w:t>
                  </w:r>
                  <w:r>
                    <w:rPr>
                      <w:color w:val="8DB3E2"/>
                      <w:vertAlign w:val="superscript"/>
                    </w:rPr>
                    <w:t xml:space="preserve">[89]</w:t>
                  </w:r>
                </w:p>
                <w:p>
                  <w:pPr>
                    <w:pStyle w:val="BodyText"/>
                  </w:pPr>
                  <w:r>
                    <w:t xml:space="preserve"> Depending on the financial needs and resources of the respondent and complainant, the court </w:t>
                  </w:r>
                  <w:r>
                    <w:rPr>
                      <w:b/>
                    </w:rPr>
                    <w:t xml:space="preserve">may </w:t>
                  </w:r>
                  <w:r>
                    <w:t xml:space="preserve">order the complainant to pay "emergency monetary relief" (dealt with further below).</w:t>
                  </w:r>
                  <w:r>
                    <w:rPr>
                      <w:color w:val="8DB3E2"/>
                      <w:vertAlign w:val="superscript"/>
                    </w:rPr>
                    <w:t xml:space="preserve">[90]</w:t>
                  </w:r>
                  <w:r>
                    <w:br/>
                  </w:r>
                  <w:r>
                    <w:br/>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4.3.2 Are there age limits on who can obtain orders?</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No. As set out above, any complainant may apply to the court for a protection order,</w:t>
                  </w:r>
                  <w:r>
                    <w:rPr>
                      <w:color w:val="8DB3E2"/>
                      <w:vertAlign w:val="superscript"/>
                    </w:rPr>
                    <w:t xml:space="preserve">[91]</w:t>
                  </w:r>
                  <w:r>
                    <w:rPr>
                      <w:vertAlign w:val="superscript"/>
                    </w:rPr>
                    <w:t xml:space="preserve"> </w:t>
                  </w:r>
                  <w:r>
                    <w:t xml:space="preserve">a complainant being "any person who is or has been in a domestic relationship</w:t>
                  </w:r>
                  <w:r>
                    <w:rPr>
                      <w:color w:val="8DB3E2"/>
                      <w:vertAlign w:val="superscript"/>
                    </w:rPr>
                    <w:t xml:space="preserve">[92]</w:t>
                  </w:r>
                  <w:r>
                    <w:t xml:space="preserve"> with a respondent and who is or has been subjected or allegedly subjected to an act of domestic violence, including any child in the care of the complainant."</w:t>
                  </w:r>
                  <w:r>
                    <w:rPr>
                      <w:color w:val="8DB3E2"/>
                      <w:vertAlign w:val="superscript"/>
                    </w:rPr>
                    <w:t xml:space="preserve">[93]</w:t>
                  </w:r>
                </w:p>
                <w:p>
                  <w:pPr>
                    <w:pStyle w:val="BodyText"/>
                  </w:pPr>
                  <w:r>
                    <w:t xml:space="preserve">Further, the DVA expressly provides that "any minor, or any person on behalf of a minor, may apply to the court for a protection order without the assistance of a parent, guardian or any other person."</w:t>
                  </w:r>
                  <w:r>
                    <w:rPr>
                      <w:color w:val="8DB3E2"/>
                      <w:vertAlign w:val="superscript"/>
                    </w:rPr>
                    <w:t xml:space="preserve">[94]</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4.4	Restitution and remedies available to victims </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pPr>
                    <w:pBdr>
                      <w:top w:val="single" w:sz="4"/>
                    </w:pBdr>
                  </w:pPr>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4.4.1 Can victims obtain reimbursement for costs and restitution paid?</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One of the remedies available to victims of domestic violence under the DVA is "emergency monetary relief,"</w:t>
                  </w:r>
                  <w:r>
                    <w:rPr>
                      <w:color w:val="8DB3E2"/>
                      <w:vertAlign w:val="superscript"/>
                    </w:rPr>
                    <w:t xml:space="preserve">[95]</w:t>
                  </w:r>
                  <w:r>
                    <w:t xml:space="preserve"> which is compensation for monetary losses suffered by a victim at the time of the issue of a protection order as a result of the domestic violence, including:</w:t>
                  </w:r>
                </w:p>
                <w:p>
                  <w:pPr>
                    <w:pStyle w:val="BodyText"/>
                  </w:pPr>
                  <w:pPr>
                    <w:pStyle w:val="ListParagraph"/>
                    <w:numPr>
                      <w:ilvl w:val="0"/>
                      <w:numId w:val="27"/>
                    </w:numPr>
                  </w:pPr>
                  <w:r>
                    <w:t xml:space="preserve">loss of earnings</w:t>
                  </w:r>
                </w:p>
                <w:p>
                  <w:pPr>
                    <w:pStyle w:val="BodyText"/>
                  </w:pPr>
                  <w:pPr>
                    <w:pStyle w:val="ListParagraph"/>
                    <w:numPr>
                      <w:ilvl w:val="0"/>
                      <w:numId w:val="27"/>
                    </w:numPr>
                  </w:pPr>
                  <w:r>
                    <w:t xml:space="preserve">medical and dental expenses</w:t>
                  </w:r>
                </w:p>
                <w:p>
                  <w:pPr>
                    <w:pStyle w:val="BodyText"/>
                  </w:pPr>
                  <w:pPr>
                    <w:pStyle w:val="ListParagraph"/>
                    <w:numPr>
                      <w:ilvl w:val="0"/>
                      <w:numId w:val="27"/>
                    </w:numPr>
                  </w:pPr>
                  <w:r>
                    <w:t xml:space="preserve">relocation and accommodation expenses</w:t>
                  </w:r>
                </w:p>
                <w:p>
                  <w:pPr>
                    <w:pStyle w:val="BodyText"/>
                  </w:pPr>
                  <w:pPr>
                    <w:pStyle w:val="ListParagraph"/>
                    <w:numPr>
                      <w:ilvl w:val="0"/>
                      <w:numId w:val="27"/>
                    </w:numPr>
                  </w:pPr>
                  <w:r>
                    <w:t xml:space="preserve">household necessities</w:t>
                  </w:r>
                  <w:r>
                    <w:rPr>
                      <w:color w:val="8DB3E2"/>
                      <w:vertAlign w:val="superscript"/>
                    </w:rPr>
                    <w:t xml:space="preserve">[96]</w:t>
                  </w:r>
                </w:p>
                <w:p>
                  <w:pPr>
                    <w:pStyle w:val="BodyText"/>
                  </w:pPr>
                  <w:r>
                    <w:t xml:space="preserve">It is important to note that the granting of 'emergency monetary' relief is different to a court granting maintenance under the Maintenance Act.</w:t>
                  </w:r>
                  <w:r>
                    <w:rPr>
                      <w:color w:val="8DB3E2"/>
                      <w:vertAlign w:val="superscript"/>
                    </w:rPr>
                    <w:t xml:space="preserve">[97]</w:t>
                  </w:r>
                  <w:r>
                    <w:rPr>
                      <w:color w:val="8DB3E2"/>
                    </w:rPr>
                    <w:t xml:space="preserve"> </w:t>
                  </w:r>
                  <w:r>
                    <w:t xml:space="preserve">Furthermore, the court is prohibited from refusing to issue a protection order or impose any condition that it is competent to make under the DVA simply because the victim has other legal remedies available to them.</w:t>
                  </w:r>
                  <w:r>
                    <w:rPr>
                      <w:color w:val="8DB3E2"/>
                      <w:vertAlign w:val="superscript"/>
                    </w:rPr>
                    <w:t xml:space="preserve">[98]</w:t>
                  </w:r>
                </w:p>
                <w:p>
                  <w:pPr>
                    <w:pStyle w:val="BodyText"/>
                  </w:pPr>
                  <w:r>
                    <w:t xml:space="preserve"> An order for costs against any party (either abuser or victim) may only be granted if the court is satisfied that such party has acted "frivolously, vexatiously or unreasonably."</w:t>
                  </w:r>
                  <w:r>
                    <w:rPr>
                      <w:color w:val="8DB3E2"/>
                      <w:vertAlign w:val="superscript"/>
                    </w:rPr>
                    <w:t xml:space="preserve">[99]</w:t>
                  </w:r>
                  <w:r>
                    <w:t xml:space="preserve"> </w:t>
                  </w:r>
                </w:p>
                <w:p>
                  <w:pPr>
                    <w:pStyle w:val="BodyText"/>
                  </w:pPr>
                  <w:r>
                    <w:br/>
                  </w:r>
                  <w:r>
                    <w:br/>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4.4.2 Can they recover wages and profits lost?</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Yes. As set out above, the court can make an order for "emergency monetary relief," which may include relief as a result of loss of earnings due to domestic violence.</w:t>
                  </w:r>
                  <w:r>
                    <w:rPr>
                      <w:color w:val="8DB3E2"/>
                      <w:vertAlign w:val="superscript"/>
                    </w:rPr>
                    <w:t xml:space="preserve">[100]</w:t>
                  </w:r>
                  <w:r>
                    <w:t xml:space="preserve"> In granting such an order, the court must consider the financial needs and resources of both the victim and the abuser.</w:t>
                  </w:r>
                  <w:r>
                    <w:br/>
                  </w:r>
                  <w:r>
                    <w:br/>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4.4.3 Is a separate civil process required?</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No. The granting of emergency monetary relief is part of the court's discretionary powers in respect of granting protection orders under the DVA. As such, the granting of "emergency monetary relief" under the terms of the DVA does not constitute a stand-alone remedy under the DVA.</w:t>
                  </w:r>
                </w:p>
              </w:sdtContent>
            </w:sdt>
          </w:sdtContent>
        </w:sdt>
      </w:sdtContent>
    </w:sdt>
    <w:sdt>
      <w:sdtPr>
        <w:rPr>
          <w:rFonts w:eastAsiaTheme="minorHAnsi" w:cstheme="minorBidi"/>
          <w:b w:val="0"/>
          <w:color w:val="auto"/>
          <w:sz w:val="20"/>
          <w:szCs w:val="20"/>
        </w:rPr>
        <w:id w:val="-2026248521"/>
        <w:placeholder>
          <w:docPart w:val="3816F6170ABC43BCBDB278015F7ED7B2"/>
        </w:placeholder>
        <w15:repeatingSectionItem/>
      </w:sdtPr>
      <w:sdtEndPr>
        <w:rPr>
          <w:szCs w:val="22"/>
        </w:rPr>
      </w:sdtEndPr>
      <w:sdtContent>
        <w:p w:rsidRPr="008020A8" w:rsidR="002537D8" w:rsidP="002537D8" w:rsidRDefault="002537D8" w14:paraId="779BEB21" w14:textId="77777777">
          <w:pPr>
            <w:pStyle w:val="Heading1"/>
          </w:pPr>
          <w:r>
            <w:t>5.	Prosecutorial considerations</w:t>
          </w:r>
        </w:p>
        <w:bookmarkStart w:name="_Toc42606705" w:displacedByCustomXml="next" w:id="1"/>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5.1	Police procedures</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pPr>
                    <w:pBdr>
                      <w:top w:val="single" w:sz="4"/>
                    </w:pBdr>
                  </w:pPr>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5.1.1 When do the police get involved in domestic disputes or legal actions?</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Under the DVA, at the scene of an incident of domestic violence or as soon as reasonably possible thereafter, or when the incident of domestic violence is reported, any member of the South African Police Service </w:t>
                  </w:r>
                  <w:r>
                    <w:rPr>
                      <w:b/>
                    </w:rPr>
                    <w:t xml:space="preserve">must</w:t>
                  </w:r>
                  <w:r>
                    <w:t xml:space="preserve">:</w:t>
                  </w:r>
                </w:p>
                <w:p>
                  <w:pPr>
                    <w:pStyle w:val="BodyText"/>
                  </w:pPr>
                  <w:pPr>
                    <w:pStyle w:val="ListParagraph"/>
                    <w:numPr>
                      <w:ilvl w:val="0"/>
                      <w:numId w:val="26"/>
                    </w:numPr>
                  </w:pPr>
                  <w:r>
                    <w:t xml:space="preserve">assist the victim as may be required, which may include assisting or making arrangements for the victim to find a suitable shelter and to obtain medical treatment</w:t>
                  </w:r>
                </w:p>
                <w:p>
                  <w:pPr>
                    <w:pStyle w:val="BodyText"/>
                  </w:pPr>
                  <w:pPr>
                    <w:pStyle w:val="ListParagraph"/>
                    <w:numPr>
                      <w:ilvl w:val="0"/>
                      <w:numId w:val="26"/>
                    </w:numPr>
                  </w:pPr>
                  <w:r>
                    <w:t xml:space="preserve">if it is reasonably possible to do so, hand a notice containing information to the victim in the official language of the victim's choice</w:t>
                  </w:r>
                </w:p>
                <w:p>
                  <w:pPr>
                    <w:pStyle w:val="BodyText"/>
                  </w:pPr>
                  <w:pPr>
                    <w:pStyle w:val="ListParagraph"/>
                    <w:numPr>
                      <w:ilvl w:val="0"/>
                      <w:numId w:val="26"/>
                    </w:numPr>
                  </w:pPr>
                  <w:r>
                    <w:t xml:space="preserve">if it is reasonably possible to do so, explain to the victim the content of such notice, including the remedies at their disposal and the right to lodge a criminal complaint</w:t>
                  </w:r>
                  <w:r>
                    <w:rPr>
                      <w:color w:val="8DB3E2"/>
                      <w:vertAlign w:val="superscript"/>
                    </w:rPr>
                    <w:t xml:space="preserve">[101]</w:t>
                  </w:r>
                </w:p>
                <w:p>
                  <w:pPr>
                    <w:pStyle w:val="BodyText"/>
                  </w:pPr>
                  <w:r>
                    <w:t xml:space="preserve">A peace officer, as defined in the CPA</w:t>
                  </w:r>
                  <w:r>
                    <w:rPr>
                      <w:color w:val="8DB3E2"/>
                      <w:vertAlign w:val="superscript"/>
                    </w:rPr>
                    <w:t xml:space="preserve">[102]</w:t>
                  </w:r>
                  <w:r>
                    <w:t xml:space="preserve"> (which includes any member of the South African Police Service), may also, without a warrant, arrest any person who is reasonably suspected of having committed an act of domestic violence as contemplated in the DVA.</w:t>
                  </w:r>
                  <w:r>
                    <w:rPr>
                      <w:color w:val="8DB3E2"/>
                      <w:vertAlign w:val="superscript"/>
                    </w:rPr>
                    <w:t xml:space="preserve">[103]</w:t>
                  </w:r>
                </w:p>
                <w:p>
                  <w:pPr>
                    <w:pStyle w:val="BodyText"/>
                  </w:pPr>
                  <w:r>
                    <w:t xml:space="preserve">Accordingly, the South African Police Service is mandated to get involved either upon the lodgment of a criminal complaint against the abuser, or where the police officer has probable cause to believe that the abuser was involved in the commission of a crime, such as assault.</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5.1.2 What circumstances effect law firm involvement?</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Nothing prohibits legal representation in domestic violence cases. In a criminal matter, the prosecutor will act in the interests of the victim, and the accused person has a right to legal representation.</w:t>
                  </w:r>
                  <w:r>
                    <w:rPr>
                      <w:color w:val="8DB3E2"/>
                      <w:vertAlign w:val="superscript"/>
                    </w:rPr>
                    <w:t xml:space="preserve">[104]</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5.2 Standard of proof</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pPr>
                    <w:pBdr>
                      <w:top w:val="single" w:sz="4"/>
                    </w:pBdr>
                  </w:pPr>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5.2.1 Is proof required by any legal means?</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Yes, proof or evidence will be required to support the criminal charge against the accused person.</w:t>
                  </w:r>
                </w:p>
                <w:p>
                  <w:pPr>
                    <w:pStyle w:val="BodyText"/>
                  </w:pPr>
                  <w:r>
                    <w:t xml:space="preserve"> As a minimum, the court will need to consider all evidence as it deems fit, including oral evidence or evidence by affidavit, which will form part of the record of the proceedings.</w:t>
                  </w:r>
                  <w:r>
                    <w:rPr>
                      <w:color w:val="8DB3E2"/>
                      <w:vertAlign w:val="superscript"/>
                    </w:rPr>
                    <w:t xml:space="preserve">[105]</w:t>
                  </w:r>
                  <w:r>
                    <w:br/>
                  </w:r>
                  <w:r>
                    <w:br/>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5.2.2 Are there any requirements regarding evidence and documents?</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The law of evidence is regulated under the South African law of procedure and sufficient evidence will need to be presented in order for the court to determine that the accused is guilty beyond reasonable doubt, including witness testimony, documentary evidence, real evidence (such as any object used to commit the violent act or forensic evidence, etc.) The CPA and the common law regulates evidence in criminal matters.</w:t>
                  </w:r>
                </w:p>
                <w:p>
                  <w:pPr>
                    <w:pStyle w:val="BodyText"/>
                  </w:pPr>
                  <w:r>
                    <w:t xml:space="preserve">Where sexual assault occurs, there are also clear national directives and instructions when it comes to forensic examinations relating to sexual offences. Compliance with a national directive designed to provide standardized procedures for conducting forensic examinations on sexual offense survivors in all health establishments in South Africa is required. These directives are used in order to, amongst others, ensure a holistic, coordinated, efficient, and supportive response to survivors of sexual offense as well as to ensure the provision of a full range of comprehensive services to survivors who have reported the sexual offence.</w:t>
                  </w:r>
                  <w:r>
                    <w:rPr>
                      <w:color w:val="8DB3E2"/>
                      <w:vertAlign w:val="superscript"/>
                    </w:rPr>
                    <w:t xml:space="preserve">[106]</w:t>
                  </w:r>
                  <w:r>
                    <w:br/>
                  </w:r>
                  <w:r>
                    <w:br/>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5.2.3 Is proof "beyond a reasonable doubt" required?</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Under South African law generally, the standard of proof required in criminal matters is beyond reasonable doubt, whereas for civil matters, the standard of proof is on a balance of probabilities. As such, any criminal proceedings relating to domestic violence will require proof beyond reasonable doubt that the accused committed the alleged crime.</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5.2.4 Is the standard of proof different for ex parte orders?</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In respect of the standard of proof required for the issuance of an Interim Protection Order, which may be issued on an ex parte basis as explained above, a court will </w:t>
                  </w:r>
                  <w:r>
                    <w:rPr>
                      <w:i/>
                    </w:rPr>
                    <w:t xml:space="preserve">inter alia </w:t>
                  </w:r>
                  <w:r>
                    <w:t xml:space="preserve">consider whether there is </w:t>
                  </w:r>
                  <w:r>
                    <w:rPr>
                      <w:i/>
                    </w:rPr>
                    <w:t xml:space="preserve">prima facie </w:t>
                  </w:r>
                  <w:r>
                    <w:t xml:space="preserve">evidence that the respondent has committed an act of domestic violence.</w:t>
                  </w:r>
                  <w:r>
                    <w:rPr>
                      <w:color w:val="8DB3E2"/>
                      <w:vertAlign w:val="superscript"/>
                    </w:rPr>
                    <w:t xml:space="preserve">[107]</w:t>
                  </w:r>
                  <w:r>
                    <w:rPr>
                      <w:vertAlign w:val="superscript"/>
                    </w:rPr>
                    <w:t xml:space="preserve"> </w:t>
                  </w:r>
                  <w:r>
                    <w:t xml:space="preserve">Accordingly, where dealing with ex parte protection orders, the standard of proof is much lower than in criminal matters.</w:t>
                  </w:r>
                  <w:r>
                    <w:br/>
                  </w:r>
                  <w:r>
                    <w:br/>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5.3 Affirmative defenses</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pPr>
                    <w:pBdr>
                      <w:top w:val="single" w:sz="4"/>
                    </w:pBdr>
                  </w:pPr>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5.3.1 Are affirmative defenses available to the accused?</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Yes. The accused can raise certain common law defenses to exclude </w:t>
                  </w:r>
                  <w:r>
                    <w:rPr>
                      <w:i/>
                    </w:rPr>
                    <w:t xml:space="preserve">inter alia</w:t>
                  </w:r>
                  <w:r>
                    <w:t xml:space="preserve"> the unlawfulness of the act or the intention to commit the act. These defenses include, among others:</w:t>
                  </w:r>
                </w:p>
                <w:p>
                  <w:pPr>
                    <w:pStyle w:val="BodyText"/>
                  </w:pPr>
                  <w:r>
                    <w:rPr>
                      <w:b/>
                    </w:rPr>
                    <w:t xml:space="preserve">Self-defense (also known as private defense)</w:t>
                  </w:r>
                </w:p>
                <w:p>
                  <w:pPr>
                    <w:pStyle w:val="BodyText"/>
                  </w:pPr>
                  <w:r>
                    <w:t xml:space="preserve">A person acts in self-defense, and this act is lawful, if they use force to repel an unlawful attack that has commenced, or is imminent, upon their own or somebody else's life, bodily integrity, property or other interest that deserves to be protected, provided the defensive act is necessary to protect the interest threatened, is directed against the attacker and is reasonably proportionate to the attack.</w:t>
                  </w:r>
                  <w:r>
                    <w:rPr>
                      <w:color w:val="8DB3E2"/>
                      <w:vertAlign w:val="superscript"/>
                    </w:rPr>
                    <w:t xml:space="preserve">[108]</w:t>
                  </w:r>
                  <w:r>
                    <w:t xml:space="preserve"> Please see below for more information.</w:t>
                  </w:r>
                </w:p>
                <w:p>
                  <w:pPr>
                    <w:pStyle w:val="BodyText"/>
                  </w:pPr>
                  <w:r>
                    <w:rPr>
                      <w:b/>
                    </w:rPr>
                    <w:t xml:space="preserve">Necessity</w:t>
                  </w:r>
                </w:p>
                <w:p>
                  <w:pPr>
                    <w:pStyle w:val="BodyText"/>
                  </w:pPr>
                  <w:r>
                    <w:t xml:space="preserve">A person acts in necessity, and his act is therefore lawful, if he acts in protection of his or somebody else's life, bodily integrity, property or other legally recognized interest that is endangered by a threat of harm that has commenced or is imminent and which cannot be averted in another way, provided the person is not legally compelled to endure the danger and the interest protected by the protective act is not out of proportion to the interest infringed by the act. It is immaterial whether the threat of harm takes the form of compulsion by a human being or emanates from a nonhuman agency, such as acts of nature.</w:t>
                  </w:r>
                  <w:r>
                    <w:rPr>
                      <w:color w:val="8DB3E2"/>
                      <w:vertAlign w:val="superscript"/>
                    </w:rPr>
                    <w:t xml:space="preserve">[109]</w:t>
                  </w:r>
                </w:p>
                <w:p>
                  <w:pPr>
                    <w:pStyle w:val="BodyText"/>
                  </w:pPr>
                  <w:r>
                    <w:rPr>
                      <w:b/>
                    </w:rPr>
                    <w:t xml:space="preserve">Consent</w:t>
                  </w:r>
                </w:p>
                <w:p>
                  <w:pPr>
                    <w:pStyle w:val="BodyText"/>
                  </w:pPr>
                  <w:r>
                    <w:t xml:space="preserve">Consent from a person who would have otherwise been the victim of the conduct may, in certain instances, render the conduct lawful.</w:t>
                  </w:r>
                  <w:r>
                    <w:rPr>
                      <w:color w:val="8DB3E2"/>
                      <w:vertAlign w:val="superscript"/>
                    </w:rPr>
                    <w:t xml:space="preserve">[110]</w:t>
                  </w:r>
                  <w:r>
                    <w:t xml:space="preserve"> Please see additional information below.</w:t>
                  </w:r>
                </w:p>
                <w:p>
                  <w:pPr>
                    <w:pStyle w:val="BodyText"/>
                  </w:pPr>
                  <w:r>
                    <w:rPr>
                      <w:b/>
                    </w:rPr>
                    <w:t xml:space="preserve">Presumed consent</w:t>
                  </w:r>
                </w:p>
                <w:p>
                  <w:pPr>
                    <w:pStyle w:val="BodyText"/>
                  </w:pPr>
                  <w:r>
                    <w:t xml:space="preserve">If a person commits an act that infringes the interests of another, his conduct is justified if he acts in defense of, or in the furthering of, the other persons interests, in circumstances in which the other person's consent to the act is not obtainable but there are reasonable grounds for assuming that the other person would have consented to the conduct had he been in a position to make a decision.</w:t>
                  </w:r>
                  <w:r>
                    <w:rPr>
                      <w:color w:val="8DB3E2"/>
                      <w:vertAlign w:val="superscript"/>
                    </w:rPr>
                    <w:t xml:space="preserve">[111]</w:t>
                  </w:r>
                  <w:r>
                    <w:rPr>
                      <w:vertAlign w:val="superscript"/>
                    </w:rPr>
                    <w:t xml:space="preserve"> </w:t>
                  </w:r>
                  <w:r>
                    <w:t xml:space="preserve">For example, a person loses consciousness in a motor vehicle accident and the paramedics transport him to the hospital without his permission to receive medical treatment.</w:t>
                  </w:r>
                  <w:r>
                    <w:rPr>
                      <w:color w:val="8DB3E2"/>
                      <w:vertAlign w:val="superscript"/>
                    </w:rPr>
                    <w:t xml:space="preserve">[112]</w:t>
                  </w:r>
                  <w:r>
                    <w:rPr>
                      <w:color w:val="8DB3E2"/>
                    </w:rPr>
                    <w:t xml:space="preserve"> </w:t>
                  </w:r>
                </w:p>
                <w:p>
                  <w:pPr>
                    <w:pStyle w:val="BodyText"/>
                  </w:pPr>
                  <w:r>
                    <w:rPr>
                      <w:b/>
                    </w:rPr>
                    <w:t xml:space="preserve">Official capacity</w:t>
                  </w:r>
                </w:p>
                <w:p>
                  <w:pPr>
                    <w:pStyle w:val="BodyText"/>
                  </w:pPr>
                  <w:r>
                    <w:t xml:space="preserve">An act, which would be unlawful, is justified if the person is entitled to perform it by virtue of the office he holds, provided it is performed in the execution of his duties.</w:t>
                  </w:r>
                  <w:r>
                    <w:rPr>
                      <w:color w:val="8DB3E2"/>
                      <w:vertAlign w:val="superscript"/>
                    </w:rPr>
                    <w:t xml:space="preserve">[113]</w:t>
                  </w:r>
                  <w:r>
                    <w:t xml:space="preserve"> For example, the person is a police officer.</w:t>
                  </w:r>
                </w:p>
                <w:p>
                  <w:pPr>
                    <w:pStyle w:val="BodyText"/>
                  </w:pPr>
                  <w:r>
                    <w:rPr>
                      <w:b/>
                    </w:rPr>
                    <w:t xml:space="preserve">Trivial nature of crime</w:t>
                  </w:r>
                </w:p>
                <w:p>
                  <w:pPr>
                    <w:pStyle w:val="BodyText"/>
                  </w:pPr>
                  <w:r>
                    <w:t xml:space="preserve">If a person commits an act that is unlawful but the degree to which he contravenes the law is minimal, a court may decide not to convict him for the crime.</w:t>
                  </w:r>
                  <w:r>
                    <w:rPr>
                      <w:color w:val="8DB3E2"/>
                      <w:vertAlign w:val="superscript"/>
                    </w:rPr>
                    <w:t xml:space="preserve">[114]</w:t>
                  </w:r>
                </w:p>
                <w:p>
                  <w:pPr>
                    <w:pStyle w:val="BodyText"/>
                  </w:pPr>
                  <w:r>
                    <w:rPr>
                      <w:b/>
                    </w:rPr>
                    <w:t xml:space="preserve">Provocation/emotional stress</w:t>
                  </w:r>
                </w:p>
                <w:p>
                  <w:pPr>
                    <w:pStyle w:val="BodyText"/>
                  </w:pPr>
                  <w:r>
                    <w:t xml:space="preserve">In addition, the accused may also attempt to raise the defense of provocation or emotional stress. Provocation may, in exceptional circumstances, exclude an intention to commit a crime or may mitigate a sentence. In a case of nonpathological incapacity, the defense of provocation or emotional stress will be successful if the court is satisfied that the accused did not possess the capacity to appreciate the wrongfulness of his conduct or to act in accordance with such appreciation. A feature of this defense is the relatively temporary nature of such incapacity. </w:t>
                  </w:r>
                  <w:r>
                    <w:rPr>
                      <w:color w:val="8DB3E2"/>
                      <w:vertAlign w:val="superscript"/>
                    </w:rPr>
                    <w:t xml:space="preserve">[115]</w:t>
                  </w:r>
                </w:p>
                <w:p>
                  <w:pPr>
                    <w:pStyle w:val="BodyText"/>
                  </w:pPr>
                  <w:r>
                    <w:t xml:space="preserve">It must, however, be noted that the factual foundation for this defense must be sufficient to create reasonable doubt, as the prosecution is assisted by the presumption that, in the absence of exceptional circumstances, a sane person who engages in conduct that would ordinarily give rise to criminal liability does so consciously and voluntarily. The mere version of the accused that he could not control himself will not be sufficient to lead to an acquittal and will also not be readily accepted by the court.</w:t>
                  </w:r>
                  <w:r>
                    <w:rPr>
                      <w:color w:val="8DB3E2"/>
                      <w:vertAlign w:val="superscript"/>
                    </w:rPr>
                    <w:t xml:space="preserve">[116]</w:t>
                  </w:r>
                  <w:r>
                    <w:br/>
                  </w:r>
                  <w:r>
                    <w:br/>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5.3.2 Is willful intent required?</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Yes. This means that the abuser must have had the intention to knowingly and deliberately act or refrain from acting in a particular manner or to achieve a particular result.</w:t>
                  </w:r>
                  <w:r>
                    <w:rPr>
                      <w:color w:val="8DB3E2"/>
                      <w:vertAlign w:val="superscript"/>
                    </w:rPr>
                    <w:t xml:space="preserve">[117]</w:t>
                  </w:r>
                  <w:r>
                    <w:rPr>
                      <w:color w:val="8DB3E2"/>
                      <w:vertAlign w:val="superscript"/>
                    </w:rPr>
                    <w:t xml:space="preserve"> </w:t>
                  </w:r>
                  <w:r>
                    <w:t xml:space="preserve">This is mandatory in domestic and sexual violence cases.</w:t>
                  </w:r>
                  <w:r>
                    <w:br/>
                  </w:r>
                  <w:r>
                    <w:br/>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5.3.3 Are false accusations punishable for the victim?</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Yes. False accusations are punishable in South Africa. Any person who makes a statement that is admitted as evidence and who, in such statement, willfully and falsely states anything that, if sworn, would amount to the offense of perjury, will be deemed to have committed the offense of perjury and will, upon conviction, be liable to the punishment prescribed for the offense of perjury.</w:t>
                  </w:r>
                  <w:r>
                    <w:rPr>
                      <w:color w:val="8DB3E2"/>
                      <w:vertAlign w:val="superscript"/>
                    </w:rPr>
                    <w:t xml:space="preserve">[118]</w:t>
                  </w:r>
                </w:p>
                <w:p>
                  <w:pPr>
                    <w:pStyle w:val="BodyText"/>
                  </w:pPr>
                  <w:r>
                    <w:br/>
                  </w:r>
                  <w:r>
                    <w:br/>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5.3.4 How is consent discussed in the law?</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Consent can operate as a ground of justification in respect of certain crimes only, and then only under certain circumstances. If consent excludes the unlawfulness of the act (such as an assault) and no consent has been given, the conduct is unlawful. If a person mistakenly believes that consent has been given, whereas in fact no consent has been given, he or she may escape liability on the ground that he or she lacked culpability.</w:t>
                  </w:r>
                  <w:r>
                    <w:rPr>
                      <w:color w:val="8DB3E2"/>
                      <w:vertAlign w:val="superscript"/>
                    </w:rPr>
                    <w:t xml:space="preserve">[119]</w:t>
                  </w:r>
                </w:p>
                <w:p>
                  <w:pPr>
                    <w:pStyle w:val="BodyText"/>
                  </w:pPr>
                  <w:r>
                    <w:rPr>
                      <w:b/>
                    </w:rPr>
                    <w:t xml:space="preserve">When consent may be a ground of justification in assault</w:t>
                  </w:r>
                </w:p>
                <w:p>
                  <w:pPr>
                    <w:pStyle w:val="BodyText"/>
                  </w:pPr>
                  <w:r>
                    <w:t xml:space="preserve">On a charge of assault, consent may be a ground of justification in certain circumstances. The best known examples of assault cases where consent may indeed operate as a defense are those where injuries are inflicted on others in the course of sporting events, and where a person's bodily integrity is impaired in the course of medical treatment, such as an operation.</w:t>
                  </w:r>
                </w:p>
                <w:p>
                  <w:pPr>
                    <w:pStyle w:val="BodyText"/>
                  </w:pPr>
                  <w:r>
                    <w:t xml:space="preserve">The reason why a medical doctor cannot be charged with assaulting a patient upon whom she performs an operation is the patient's consent to the operation</w:t>
                  </w:r>
                  <w:r>
                    <w:rPr>
                      <w:color w:val="8DB3E2"/>
                      <w:vertAlign w:val="superscript"/>
                    </w:rPr>
                    <w:t xml:space="preserve">[120]</w:t>
                  </w:r>
                  <w:r>
                    <w:t xml:space="preserve"> (assuming that it has been given). If it was impossible for the patient to consent because of unconsciousness or mental illness, for example, the doctor's conduct may nevertheless be justified by necessity or presumed consent.</w:t>
                  </w:r>
                  <w:r>
                    <w:rPr>
                      <w:color w:val="8DB3E2"/>
                      <w:vertAlign w:val="superscript"/>
                    </w:rPr>
                    <w:t xml:space="preserve">[121]</w:t>
                  </w:r>
                  <w:r>
                    <w:rPr>
                      <w:vertAlign w:val="superscript"/>
                    </w:rPr>
                    <w:t xml:space="preserve"> </w:t>
                  </w:r>
                  <w:r>
                    <w:t xml:space="preserve">In all these cases, the doctor must have the intention of performing a medical operation on the patient.</w:t>
                  </w:r>
                  <w:r>
                    <w:rPr>
                      <w:color w:val="8DB3E2"/>
                      <w:vertAlign w:val="superscript"/>
                    </w:rPr>
                    <w:t xml:space="preserve">[122]</w:t>
                  </w:r>
                  <w:r>
                    <w:rPr>
                      <w:vertAlign w:val="superscript"/>
                    </w:rPr>
                    <w:t xml:space="preserve"> </w:t>
                  </w:r>
                  <w:r>
                    <w:t xml:space="preserve">If, however, the patient refuses to consent, the doctor's conduct is, with certain exceptions, not justified.</w:t>
                  </w:r>
                </w:p>
                <w:p>
                  <w:pPr>
                    <w:pStyle w:val="BodyText"/>
                  </w:pPr>
                  <w:r>
                    <w:rPr>
                      <w:b/>
                    </w:rPr>
                    <w:t xml:space="preserve">Sexual assault</w:t>
                  </w:r>
                </w:p>
                <w:p>
                  <w:pPr>
                    <w:pStyle w:val="BodyText"/>
                  </w:pPr>
                  <w:r>
                    <w:t xml:space="preserve">Sexual assault (presently a statutory crime)</w:t>
                  </w:r>
                  <w:r>
                    <w:rPr>
                      <w:color w:val="8DB3E2"/>
                      <w:vertAlign w:val="superscript"/>
                    </w:rPr>
                    <w:t xml:space="preserve">[123]</w:t>
                  </w:r>
                  <w:r>
                    <w:t xml:space="preserve"> may be committed with or without the use of force or the infliction of injuries. Consent may operate as a justification for the act if no injuries are inflicted.</w:t>
                  </w:r>
                  <w:r>
                    <w:rPr>
                      <w:color w:val="8DB3E2"/>
                      <w:vertAlign w:val="superscript"/>
                    </w:rPr>
                    <w:t xml:space="preserve">[124]</w:t>
                  </w:r>
                  <w:r>
                    <w:rPr>
                      <w:vertAlign w:val="superscript"/>
                    </w:rPr>
                    <w:t xml:space="preserve"> </w:t>
                  </w:r>
                  <w:r>
                    <w:t xml:space="preserve">Where injuries are inflicted, it has been held that consent may not be pleaded as a defense. It would, however, seem to be more realistic to enquire in such cases whether the act is </w:t>
                  </w:r>
                  <w:r>
                    <w:rPr>
                      <w:i/>
                    </w:rPr>
                    <w:t xml:space="preserve">contra bonos mores </w:t>
                  </w:r>
                  <w:r>
                    <w:t xml:space="preserve">(against good morals)</w:t>
                  </w:r>
                  <w:r>
                    <w:rPr>
                      <w:i/>
                    </w:rPr>
                    <w:t xml:space="preserve"> </w:t>
                  </w:r>
                  <w:r>
                    <w:t xml:space="preserve">or not. If the injury is slight, it is conceivable that the law may recognize consent to the act as a defense.</w:t>
                  </w:r>
                </w:p>
                <w:p>
                  <w:pPr>
                    <w:pStyle w:val="BodyText"/>
                  </w:pPr>
                  <w:r>
                    <w:t xml:space="preserve">A person can withdraw consent for sexual activity at any point.</w:t>
                  </w:r>
                  <w:r>
                    <w:rPr>
                      <w:color w:val="8DB3E2"/>
                      <w:vertAlign w:val="superscript"/>
                    </w:rPr>
                    <w:t xml:space="preserve">[125]</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5.3.5 Is self-defense or insanity a defense?</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Both self-defense (commonly known as private defense) and insanity are recognized defenses under South African law, subject to certain requirements.</w:t>
                  </w:r>
                </w:p>
                <w:p>
                  <w:pPr>
                    <w:pStyle w:val="BodyText"/>
                  </w:pPr>
                  <w:r>
                    <w:t xml:space="preserve">In order for a person to show that self-defense was appropriate and that the conduct was justifiable, the following will need to be proved in court:</w:t>
                  </w:r>
                </w:p>
                <w:p>
                  <w:pPr>
                    <w:pStyle w:val="BodyText"/>
                  </w:pPr>
                  <w:r>
                    <w:t xml:space="preserve">The attack must be:</w:t>
                  </w:r>
                </w:p>
                <w:p>
                  <w:pPr>
                    <w:pStyle w:val="BodyText"/>
                  </w:pPr>
                  <w:pPr>
                    <w:pStyle w:val="ListParagraph"/>
                    <w:numPr>
                      <w:ilvl w:val="0"/>
                      <w:numId w:val="23"/>
                    </w:numPr>
                  </w:pPr>
                  <w:r>
                    <w:t xml:space="preserve">unlawful</w:t>
                  </w:r>
                </w:p>
                <w:p>
                  <w:pPr>
                    <w:pStyle w:val="BodyText"/>
                  </w:pPr>
                  <w:pPr>
                    <w:pStyle w:val="ListParagraph"/>
                    <w:numPr>
                      <w:ilvl w:val="0"/>
                      <w:numId w:val="23"/>
                    </w:numPr>
                  </w:pPr>
                  <w:r>
                    <w:t xml:space="preserve">directed at an interest that legally deserves to be protected</w:t>
                  </w:r>
                </w:p>
                <w:p>
                  <w:pPr>
                    <w:pStyle w:val="BodyText"/>
                  </w:pPr>
                  <w:pPr>
                    <w:pStyle w:val="ListParagraph"/>
                    <w:numPr>
                      <w:ilvl w:val="0"/>
                      <w:numId w:val="23"/>
                    </w:numPr>
                  </w:pPr>
                  <w:r>
                    <w:t xml:space="preserve">imminent but not yet completed</w:t>
                  </w:r>
                </w:p>
                <w:p>
                  <w:pPr>
                    <w:pStyle w:val="BodyText"/>
                  </w:pPr>
                  <w:r>
                    <w:t xml:space="preserve">The defense must be:</w:t>
                  </w:r>
                </w:p>
                <w:p>
                  <w:pPr>
                    <w:pStyle w:val="BodyText"/>
                  </w:pPr>
                  <w:pPr>
                    <w:pStyle w:val="ListParagraph"/>
                    <w:numPr>
                      <w:ilvl w:val="0"/>
                      <w:numId w:val="24"/>
                    </w:numPr>
                  </w:pPr>
                  <w:r>
                    <w:t xml:space="preserve">directed against the attacker</w:t>
                  </w:r>
                </w:p>
                <w:p>
                  <w:pPr>
                    <w:pStyle w:val="BodyText"/>
                  </w:pPr>
                  <w:pPr>
                    <w:pStyle w:val="ListParagraph"/>
                    <w:numPr>
                      <w:ilvl w:val="0"/>
                      <w:numId w:val="24"/>
                    </w:numPr>
                  </w:pPr>
                  <w:r>
                    <w:t xml:space="preserve">necessary</w:t>
                  </w:r>
                </w:p>
                <w:p>
                  <w:pPr>
                    <w:pStyle w:val="BodyText"/>
                  </w:pPr>
                  <w:pPr>
                    <w:pStyle w:val="ListParagraph"/>
                    <w:numPr>
                      <w:ilvl w:val="0"/>
                      <w:numId w:val="24"/>
                    </w:numPr>
                  </w:pPr>
                  <w:r>
                    <w:t xml:space="preserve">reasonable in relation to the attack</w:t>
                  </w:r>
                </w:p>
                <w:p>
                  <w:pPr>
                    <w:pStyle w:val="BodyText"/>
                  </w:pPr>
                  <w:r>
                    <w:t xml:space="preserve">The attacked person must be aware that they are acting in self-defense.</w:t>
                  </w:r>
                  <w:r>
                    <w:rPr>
                      <w:color w:val="8DB3E2"/>
                      <w:vertAlign w:val="superscript"/>
                    </w:rPr>
                    <w:t xml:space="preserve">[126]</w:t>
                  </w:r>
                </w:p>
                <w:p>
                  <w:pPr>
                    <w:pStyle w:val="BodyText"/>
                  </w:pPr>
                  <w:r>
                    <w:t xml:space="preserve">Since 1977, the defense of mental illness (insanity) has been governed by statute.</w:t>
                  </w:r>
                  <w:r>
                    <w:rPr>
                      <w:color w:val="8DB3E2"/>
                      <w:vertAlign w:val="superscript"/>
                    </w:rPr>
                    <w:t xml:space="preserve">[127]</w:t>
                  </w:r>
                  <w:r>
                    <w:rPr>
                      <w:vertAlign w:val="superscript"/>
                    </w:rPr>
                    <w:t xml:space="preserve"> </w:t>
                  </w:r>
                  <w:r>
                    <w:t xml:space="preserve">Section 78(1) of the CPA reads as follows:</w:t>
                  </w:r>
                </w:p>
                <w:p>
                  <w:pPr>
                    <w:pStyle w:val="BodyText"/>
                  </w:pPr>
                  <w:r>
                    <w:t xml:space="preserve">A person who commits an act or makes an omission which constitutes an offence and who at the time of such commission or omission suffers from a mental illness or mental defect which makes him or her incapable–</w:t>
                  </w:r>
                </w:p>
                <w:p>
                  <w:pPr>
                    <w:pStyle w:val="BodyText"/>
                  </w:pPr>
                  <w:pPr>
                    <w:pStyle w:val="ListParagraph"/>
                    <w:numPr>
                      <w:ilvl w:val="0"/>
                      <w:numId w:val="25"/>
                    </w:numPr>
                  </w:pPr>
                  <w:r>
                    <w:t xml:space="preserve">of appreciating the wrongfulness of his or her act or omission; or</w:t>
                  </w:r>
                </w:p>
                <w:p>
                  <w:pPr>
                    <w:pStyle w:val="BodyText"/>
                  </w:pPr>
                  <w:pPr>
                    <w:pStyle w:val="ListParagraph"/>
                    <w:numPr>
                      <w:ilvl w:val="0"/>
                      <w:numId w:val="25"/>
                    </w:numPr>
                  </w:pPr>
                  <w:r>
                    <w:t xml:space="preserve">of acting in accordance with an appreciation of the wrongfulness of his or her act or omission, shall not be criminally responsible for such act.</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5.4 Witness status</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pPr>
                    <w:pBdr>
                      <w:top w:val="single" w:sz="4"/>
                    </w:pBdr>
                  </w:pPr>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5.4.1 What is a witness's duty to testify honestly and completely?</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The CPA requires all persons that are examined as witnesses in criminal proceedings to be placed under oath administered by the presiding officer. The oath to be administered, as prescribed by the CPA reads as follows: "I swear that the evidence that I shall give, shall be the truth, the whole truth and nothing but the truth, so help me God."</w:t>
                  </w:r>
                  <w:r>
                    <w:rPr>
                      <w:color w:val="8DB3E2"/>
                      <w:vertAlign w:val="superscript"/>
                    </w:rPr>
                    <w:t xml:space="preserve">[128]</w:t>
                  </w:r>
                  <w:r>
                    <w:t xml:space="preserve"> Witnesses that are unable to take the oath or who may object to taking the oath are allowed to make an affirmation.</w:t>
                  </w:r>
                  <w:r>
                    <w:rPr>
                      <w:color w:val="8DB3E2"/>
                      <w:vertAlign w:val="superscript"/>
                    </w:rPr>
                    <w:t xml:space="preserve">[129]</w:t>
                  </w:r>
                  <w:r>
                    <w:rPr>
                      <w:vertAlign w:val="superscript"/>
                    </w:rPr>
                    <w:t xml:space="preserve"> </w:t>
                  </w:r>
                  <w:r>
                    <w:t xml:space="preserve">The affirmation as prescribed by the CPA reads as follows: "I solemnly affirm that the evidence that I shall give, shall be the truth, the whole truth and nothing but the truth."</w:t>
                  </w:r>
                  <w:r>
                    <w:rPr>
                      <w:color w:val="8DB3E2"/>
                      <w:vertAlign w:val="superscript"/>
                    </w:rPr>
                    <w:t xml:space="preserve">[130]</w:t>
                  </w:r>
                </w:p>
                <w:p>
                  <w:pPr>
                    <w:pStyle w:val="BodyText"/>
                  </w:pPr>
                  <w:r>
                    <w:t xml:space="preserve">In </w:t>
                  </w:r>
                  <w:r>
                    <w:rPr>
                      <w:i/>
                    </w:rPr>
                    <w:t xml:space="preserve">S v Matshiva,</w:t>
                  </w:r>
                  <w:r>
                    <w:rPr>
                      <w:color w:val="8DB3E2"/>
                      <w:vertAlign w:val="superscript"/>
                    </w:rPr>
                    <w:t xml:space="preserve">[131]</w:t>
                  </w:r>
                  <w:r>
                    <w:t xml:space="preserve"> the Supreme Court of Appeal held that section 162(1) of the CPA makes it clear that it is peremptory for all witnesses in criminal trials to be examined under oath, with the exception of certain categories of witnesses. Further, the SCA held that the testimony of a witness who has not been placed under oath properly, has not made a proper affirmation or has not been properly admonished to speak the truth, lacks the status and character of evidence and is inadmissible.</w:t>
                  </w:r>
                </w:p>
                <w:p>
                  <w:pPr>
                    <w:pStyle w:val="BodyText"/>
                  </w:pPr>
                  <w:r>
                    <w:t xml:space="preserve">In addition, the Supreme Court of Appeal held that section 164(1) is resorted to when a court is dealing with the admission of evidence of a witness who from ignorance arising from youth, defective education or other cause, is found not to understand the nature and import of the oath and affirmation. The Supreme Court of Appeal stated that section 164(1) clearly provides that in order for this section to be triggered it should be determined that the witness does not understand the nature and importance of the oath.</w:t>
                  </w:r>
                </w:p>
                <w:p>
                  <w:pPr>
                    <w:pStyle w:val="BodyText"/>
                  </w:pPr>
                  <w:r>
                    <w:br/>
                  </w:r>
                  <w:r>
                    <w:br/>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5.4.2 Who may abstain from testifying in certain situations?</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The CPA permits the following persons to abstain from providing certain evidence:</w:t>
                  </w:r>
                </w:p>
                <w:p>
                  <w:pPr>
                    <w:pStyle w:val="BodyText"/>
                  </w:pPr>
                  <w:r>
                    <w:rPr>
                      <w:b/>
                      <w:color w:val="7A0223"/>
                    </w:rPr>
                    <w:t xml:space="preserve">Privilege against self-incrimination:</w:t>
                  </w:r>
                </w:p>
                <w:p>
                  <w:pPr>
                    <w:pStyle w:val="BodyText"/>
                  </w:pPr>
                  <w:r>
                    <w:t xml:space="preserve">A witness may be excused from answering questions that may expose the witness to a criminal charge.</w:t>
                  </w:r>
                  <w:r>
                    <w:rPr>
                      <w:color w:val="8DB3E2"/>
                      <w:vertAlign w:val="superscript"/>
                    </w:rPr>
                    <w:t xml:space="preserve">[132]</w:t>
                  </w:r>
                </w:p>
                <w:p>
                  <w:pPr>
                    <w:pStyle w:val="BodyText"/>
                  </w:pPr>
                  <w:r>
                    <w:rPr>
                      <w:b/>
                    </w:rPr>
                    <w:t xml:space="preserve">Marital privilege</w:t>
                  </w:r>
                </w:p>
                <w:p>
                  <w:pPr>
                    <w:pStyle w:val="BodyText"/>
                  </w:pPr>
                  <w:r>
                    <w:t xml:space="preserve">A husband will not be compelled to disclose at criminal proceedings any communication that his wife made to him during the marriage, and a wife will not be compelled to</w:t>
                  </w:r>
                  <w:r>
                    <w:rPr>
                      <w:b/>
                    </w:rPr>
                    <w:t xml:space="preserve"> </w:t>
                  </w:r>
                  <w:r>
                    <w:t xml:space="preserve">disclose at criminal proceedings any communication that her husband made to her during the marriage.</w:t>
                  </w:r>
                  <w:r>
                    <w:rPr>
                      <w:color w:val="8DB3E2"/>
                      <w:vertAlign w:val="superscript"/>
                    </w:rPr>
                    <w:t xml:space="preserve">[133]</w:t>
                  </w:r>
                </w:p>
                <w:p>
                  <w:pPr>
                    <w:pStyle w:val="BodyText"/>
                  </w:pPr>
                  <w:r>
                    <w:rPr>
                      <w:b/>
                    </w:rPr>
                    <w:t xml:space="preserve">Legal professional privilege</w:t>
                  </w:r>
                </w:p>
                <w:p>
                  <w:pPr>
                    <w:pStyle w:val="BodyText"/>
                  </w:pPr>
                  <w:r>
                    <w:t xml:space="preserve">The CPA prohibits a legal practitioner qualified to practice in any court, to give evidence at criminal proceedings against any person by whom she is professionally employed or consulted as to any fact, matter or thing with regard to which such practitioner would not, by reason of such employment or consultation, have been competent to give evidence without such consent.</w:t>
                  </w:r>
                  <w:r>
                    <w:rPr>
                      <w:color w:val="8DB3E2"/>
                      <w:vertAlign w:val="superscript"/>
                    </w:rPr>
                    <w:t xml:space="preserve">[134]</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5.4.3 What potential "excuses" can a witness raise to refuse to testify in a domestic violence action?</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The CPA and the DVA do not provide specific grounds that a witness may raise in order to avoid testifying in a domestic violence trial. However, witnesses may raise privilege against self-incrimination, marital privilege and legal professional privilege to refuse to testify or answer certain questions in a domestic violence matter.</w:t>
                  </w:r>
                  <w:r>
                    <w:rPr>
                      <w:color w:val="8DB3E2"/>
                      <w:vertAlign w:val="superscript"/>
                    </w:rPr>
                    <w:t xml:space="preserve">[135]</w:t>
                  </w:r>
                  <w:r>
                    <w:t xml:space="preserve"> </w:t>
                  </w:r>
                  <w:r>
                    <w:t xml:space="preserve"> </w:t>
                  </w:r>
                  <w:r>
                    <w:br/>
                  </w:r>
                  <w:r>
                    <w:br/>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5.4.4 What is the impact of domestic violence on witnesses who are children?</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The giving of evidence, especially for child witnesses, may be emotionally traumatic for the witness. Further, due to their age it may be more difficult for child witnesses to recount details of domestic violence and to articulate their evidence in court.</w:t>
                  </w:r>
                </w:p>
                <w:p>
                  <w:pPr>
                    <w:pStyle w:val="BodyText"/>
                  </w:pPr>
                  <w:r>
                    <w:br/>
                  </w:r>
                  <w:r>
                    <w:br/>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5.4.5 Can children be called upon to testify?</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The CPA provides that every person not expressly excluded from giving evidence by the CPA will be competent and compellable to give evidence in criminal proceedings.</w:t>
                  </w:r>
                  <w:r>
                    <w:rPr>
                      <w:color w:val="8DB3E2"/>
                      <w:vertAlign w:val="superscript"/>
                    </w:rPr>
                    <w:t xml:space="preserve">[136]</w:t>
                  </w:r>
                </w:p>
                <w:p>
                  <w:pPr>
                    <w:pStyle w:val="BodyText"/>
                  </w:pPr>
                  <w:r>
                    <w:t xml:space="preserve">The court will decide on the compellability and competence of the minor to provide evidence in the criminal proceedings on a case-by-case basis. One of the considerations that the court will take into account is whether the child is able to distinguish between truth and untruth.</w:t>
                  </w:r>
                  <w:r>
                    <w:rPr>
                      <w:color w:val="8DB3E2"/>
                      <w:vertAlign w:val="superscript"/>
                    </w:rPr>
                    <w:t xml:space="preserve">[137]</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5.4.6 What is the effect of a child victim on the charges against the offender?</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The Children's Act specifically provides that:</w:t>
                  </w:r>
                </w:p>
                <w:p>
                  <w:pPr>
                    <w:pStyle w:val="BodyText"/>
                  </w:pPr>
                  <w:pPr>
                    <w:ind w:left="705"/>
                  </w:pPr>
                  <w:r>
                    <w:t xml:space="preserve">A parent, guardian, other person who has parental responsibilities and rights in respect of a child, care-giver or person who has no parental responsibilities and rights in respect of a child but who voluntarily cares for the child either indefinitely, temporarily or partially, is guilty of an offence if that parent or care-giver or other person abuses or deliberately neglects the child.</w:t>
                  </w:r>
                  <w:r>
                    <w:rPr>
                      <w:color w:val="8DB3E2"/>
                      <w:vertAlign w:val="superscript"/>
                    </w:rPr>
                    <w:t xml:space="preserve">[138]</w:t>
                  </w:r>
                </w:p>
                <w:p>
                  <w:pPr>
                    <w:pStyle w:val="BodyText"/>
                  </w:pPr>
                  <w:r>
                    <w:t xml:space="preserve">The parent, guardian, caregiver or person with parental responsibilities in respect of the child may be subject to a fine or to imprisonment for a period not exceeding 10 years, or to both if he or she is a first-time offender.</w:t>
                  </w:r>
                  <w:r>
                    <w:rPr>
                      <w:color w:val="8DB3E2"/>
                      <w:vertAlign w:val="superscript"/>
                    </w:rPr>
                    <w:t xml:space="preserve">[139]</w:t>
                  </w:r>
                  <w:r>
                    <w:rPr>
                      <w:vertAlign w:val="superscript"/>
                    </w:rPr>
                    <w:t xml:space="preserve"> </w:t>
                  </w:r>
                  <w:r>
                    <w:t xml:space="preserve">Repeat offenders may be subject to a fine or imprisonment for a period not exceeding 20 years or to both.</w:t>
                  </w:r>
                  <w:r>
                    <w:rPr>
                      <w:color w:val="8DB3E2"/>
                      <w:vertAlign w:val="superscript"/>
                    </w:rPr>
                    <w:t xml:space="preserve">[140]</w:t>
                  </w:r>
                  <w:r>
                    <w:rPr>
                      <w:vertAlign w:val="superscript"/>
                    </w:rPr>
                    <w:t xml:space="preserve"> </w:t>
                  </w:r>
                  <w:r>
                    <w:t xml:space="preserve">Consequently, courts are able to effect high imprisonment terms for abusers who commit domestic violence or family violence that affects a child.</w:t>
                  </w:r>
                </w:p>
                <w:p>
                  <w:pPr>
                    <w:pStyle w:val="BodyText"/>
                  </w:pPr>
                  <w:r>
                    <w:t xml:space="preserve">Lastly, persons who have been found guilty of crimes against children and those found not guilty but declared by the court to be unsuitable to work with children, may be listed on the Child Protection Register.</w:t>
                  </w:r>
                  <w:r>
                    <w:rPr>
                      <w:color w:val="8DB3E2"/>
                      <w:vertAlign w:val="superscript"/>
                    </w:rPr>
                    <w:t xml:space="preserve">[141]</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5.5	Penalties and sentencing; penalty enhancements</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pPr>
                    <w:pBdr>
                      <w:top w:val="single" w:sz="4"/>
                    </w:pBdr>
                  </w:pPr>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5.5.1 What are the penalties and sentencing laws for first-time domestic violence offenses?</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Sentencing in South Africa is the primary prerogative of trial courts. The courts enjoy a wide discretion to determine the type and severity of a sentence on a case-by-case basis.</w:t>
                  </w:r>
                  <w:r>
                    <w:rPr>
                      <w:color w:val="8DB3E2"/>
                      <w:vertAlign w:val="superscript"/>
                    </w:rPr>
                    <w:t xml:space="preserve">[142]</w:t>
                  </w:r>
                  <w:r>
                    <w:rPr>
                      <w:vertAlign w:val="superscript"/>
                    </w:rPr>
                    <w:t xml:space="preserve"> </w:t>
                  </w:r>
                  <w:r>
                    <w:t xml:space="preserve">In making sentencing decisions, the courts look to the sentencing principles entrenched in the appellate division's decision in </w:t>
                  </w:r>
                  <w:r>
                    <w:rPr>
                      <w:i/>
                    </w:rPr>
                    <w:t xml:space="preserve">S v Zinn</w:t>
                  </w:r>
                  <w:r>
                    <w:t xml:space="preserve"> for guidance.</w:t>
                  </w:r>
                  <w:r>
                    <w:rPr>
                      <w:color w:val="8DB3E2"/>
                      <w:vertAlign w:val="superscript"/>
                    </w:rPr>
                    <w:t xml:space="preserve">[143]</w:t>
                  </w:r>
                  <w:r>
                    <w:t xml:space="preserve"> In </w:t>
                  </w:r>
                  <w:r>
                    <w:rPr>
                      <w:i/>
                    </w:rPr>
                    <w:t xml:space="preserve">S v Zinn,</w:t>
                  </w:r>
                  <w:r>
                    <w:t xml:space="preserve"> the court held that when imposing a sentence, what needs to be considered is the triad consisting of the crime, the offender and the interests of society. This gave rise to the current practice of considering what is referred to as the three legs supporting an appropriate sentence: (1) the seriousness of the offence, (2) the personal circumstances of the offender, and (3) the interests of the public.</w:t>
                  </w:r>
                </w:p>
                <w:p>
                  <w:pPr>
                    <w:pStyle w:val="BodyText"/>
                  </w:pPr>
                  <w:r>
                    <w:t xml:space="preserve">In terms of a first-time domestic violence offender, the trial court would have regard to the triad principle set out in the Zinn case in arriving at the appropriate sentence for the offender.</w:t>
                  </w:r>
                </w:p>
                <w:p>
                  <w:pPr>
                    <w:pStyle w:val="BodyText"/>
                  </w:pPr>
                  <w:r>
                    <w:t xml:space="preserve">Firstly, the trial court would have to consider the seriousness of the offense. Essentially, it is required that the punishment imposed must not be disproportionate to the offense. Although the courts have the discretion to determine the appropriate punishment for crimes that are perceived as less severe, the Criminal Law Amendment Act limits the court's discretion in relation to sentencing in certain serious crimes.</w:t>
                  </w:r>
                  <w:r>
                    <w:rPr>
                      <w:color w:val="8DB3E2"/>
                      <w:vertAlign w:val="superscript"/>
                    </w:rPr>
                    <w:t xml:space="preserve">[144]</w:t>
                  </w:r>
                  <w:r>
                    <w:rPr>
                      <w:vertAlign w:val="superscript"/>
                    </w:rPr>
                    <w:t xml:space="preserve"> </w:t>
                  </w:r>
                  <w:r>
                    <w:t xml:space="preserve">The Criminal Law Amendment Act provides mandatory minimum sentences for crimes such as murder, rape, drug dealing, smuggling firearms and human trafficking for sexual-purposes. Therefore, perpetrators that commit domestic violence that results in a serious crime will be subjected to the minimum sentences contained in legislation. The sentences for first-time offenders in this regard ranges from not less than 15 years' imprisonment for murder, not less than 10 years' imprisonment for rape and compelled rape and not less than five years' imprisonment for kidnapping and assault with intent to cause grievous bodily harm.</w:t>
                  </w:r>
                  <w:r>
                    <w:rPr>
                      <w:color w:val="8DB3E2"/>
                      <w:vertAlign w:val="superscript"/>
                    </w:rPr>
                    <w:t xml:space="preserve">[145]</w:t>
                  </w:r>
                </w:p>
                <w:p>
                  <w:pPr>
                    <w:pStyle w:val="BodyText"/>
                  </w:pPr>
                  <w:r>
                    <w:t xml:space="preserve">Secondly, the triad principle in the Zinn case requires the court to consider the personal circumstances of the offender to ensure that the sentence fits the offender. In this instance, the presiding officer will hear submissions on the personal circumstances of the offender and will weigh the aggravating submissions against the mitigating submissions to establish a sentence that is suitable for the offender. The fact that the offender is a first-time domestic violence offender may be seen as a mitigating factor in these circumstances. However, the South African judiciary has often expressed its intolerance for domestic violence offenders. In particular, the Constitutional Court has stated that domestic violence brutally offends the values and rights enshrined in the Constitution. Therefore, there is a constitutional requirement to deal effectively with domestic violence.</w:t>
                  </w:r>
                  <w:r>
                    <w:rPr>
                      <w:color w:val="8DB3E2"/>
                      <w:vertAlign w:val="superscript"/>
                    </w:rPr>
                    <w:t xml:space="preserve">[146]</w:t>
                  </w:r>
                  <w:r>
                    <w:rPr>
                      <w:vertAlign w:val="superscript"/>
                    </w:rPr>
                    <w:t xml:space="preserve"> </w:t>
                  </w:r>
                  <w:r>
                    <w:t xml:space="preserve">Accordingly, the judiciary when sentencing abusers often applies less leniency and abusers are often subjected to the maximum penalty for imprisonment.</w:t>
                  </w:r>
                  <w:r>
                    <w:rPr>
                      <w:color w:val="8DB3E2"/>
                      <w:vertAlign w:val="superscript"/>
                    </w:rPr>
                    <w:t xml:space="preserve">[147]</w:t>
                  </w:r>
                </w:p>
                <w:p>
                  <w:pPr>
                    <w:pStyle w:val="BodyText"/>
                  </w:pPr>
                  <w:r>
                    <w:t xml:space="preserve">Lastly, the triad principle in the Zinn case allows presiding officers to take into consideration the interests of society when making a determination of the appropriate sentence to which the offender should be subjected. Essentially, this consideration incorporates the traditional purposes of punishment (deterrence, rehabilitation, protection and retribution) into the sentencing considerations. The consideration of public interest may also be an aggravating or mitigating factor in determining the appropriate sentence. As noted above, domestic violence brutally offends the values and rights enshrined in the Constitution. Therefore, in certain instances, a harsh sentence for domestic violence in a society that battles with surges of domestic violence incidents may appear as the adequate deterrence and punishment for domestic violence offenders.</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5.5.2 Are there criminal penalties?</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Yes. As stated above, the Criminal Law Amendment Act requires the minimum mandatory sentences for serious crimes. However, the courts maintain the discretion to subject perpetrators of less severe crimes to criminal penalties.</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5.5.3 What is the result of a violation of an existing order for protection?</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The DVA provides that the violation or breach of any conditions contained in an existing protection order is an offence.</w:t>
                  </w:r>
                  <w:r>
                    <w:rPr>
                      <w:color w:val="8DB3E2"/>
                      <w:vertAlign w:val="superscript"/>
                    </w:rPr>
                    <w:t xml:space="preserve">[148]</w:t>
                  </w:r>
                  <w:r>
                    <w:t xml:space="preserve"> Convicted abusers will be liable to a fine or imprisonment for a period not exceeding five years or, alternatively, to both such fine and imprisonment. In the instance where the presiding officer imposes a fine, the presiding officer will determine the appropriate fine in relation to the severity of the offense.</w:t>
                  </w:r>
                </w:p>
                <w:p>
                  <w:pPr>
                    <w:pStyle w:val="BodyText"/>
                  </w:pPr>
                  <w:r>
                    <w:t xml:space="preserve">In the event that there are reasonable grounds to believe that the victim of domestic violence may suffer imminent harm as a result of a breach of the protection order by the abuser:</w:t>
                  </w:r>
                </w:p>
                <w:p>
                  <w:pPr>
                    <w:pStyle w:val="BodyText"/>
                  </w:pPr>
                  <w:pPr>
                    <w:pStyle w:val="ListParagraph"/>
                    <w:numPr>
                      <w:ilvl w:val="0"/>
                      <w:numId w:val="22"/>
                    </w:numPr>
                  </w:pPr>
                  <w:r>
                    <w:t xml:space="preserve">the victim may submit an affidavit to the police outlining the circumstances of the potential or actual breach by the abuser</w:t>
                  </w:r>
                </w:p>
                <w:p>
                  <w:pPr>
                    <w:pStyle w:val="BodyText"/>
                  </w:pPr>
                  <w:pPr>
                    <w:pStyle w:val="ListParagraph"/>
                    <w:numPr>
                      <w:ilvl w:val="0"/>
                      <w:numId w:val="22"/>
                    </w:numPr>
                  </w:pPr>
                  <w:r>
                    <w:t xml:space="preserve">the police officer will immediately arrest the abuser for contravention of a prohibition imposed by the court</w:t>
                  </w:r>
                  <w:r>
                    <w:rPr>
                      <w:color w:val="8DB3E2"/>
                      <w:vertAlign w:val="superscript"/>
                    </w:rPr>
                    <w:t xml:space="preserve">[149]</w:t>
                  </w:r>
                </w:p>
                <w:p>
                  <w:pPr>
                    <w:pStyle w:val="BodyText"/>
                  </w:pPr>
                  <w:r>
                    <w:br/>
                  </w:r>
                  <w:r>
                    <w:br/>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5.5.4 What fines and other penalties are imposed besides incarceration and liberty restriction?</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Abusers can also be subjected to the following:</w:t>
                  </w:r>
                </w:p>
                <w:p>
                  <w:pPr>
                    <w:pStyle w:val="BodyText"/>
                  </w:pPr>
                  <w:pPr>
                    <w:pStyle w:val="ListParagraph"/>
                    <w:numPr>
                      <w:ilvl w:val="0"/>
                      <w:numId w:val="21"/>
                    </w:numPr>
                  </w:pPr>
                  <w:r>
                    <w:t xml:space="preserve">in relation to sexual offenses; the convicted offender's personal details will be captured in the sexual offenders register;</w:t>
                  </w:r>
                  <w:r>
                    <w:rPr>
                      <w:color w:val="8DB3E2"/>
                      <w:vertAlign w:val="superscript"/>
                    </w:rPr>
                    <w:t xml:space="preserve">[150]</w:t>
                  </w:r>
                </w:p>
                <w:p>
                  <w:pPr>
                    <w:pStyle w:val="BodyText"/>
                  </w:pPr>
                  <w:pPr>
                    <w:pStyle w:val="ListParagraph"/>
                    <w:numPr>
                      <w:ilvl w:val="0"/>
                      <w:numId w:val="21"/>
                    </w:numPr>
                  </w:pPr>
                  <w:r>
                    <w:t xml:space="preserve">community corrections to facilitate the rehabilitation and restoration of the rights of victims;</w:t>
                  </w:r>
                  <w:r>
                    <w:rPr>
                      <w:color w:val="8DB3E2"/>
                      <w:vertAlign w:val="superscript"/>
                    </w:rPr>
                    <w:t xml:space="preserve">[151]</w:t>
                  </w:r>
                </w:p>
                <w:p>
                  <w:pPr>
                    <w:pStyle w:val="BodyText"/>
                  </w:pPr>
                  <w:pPr>
                    <w:pStyle w:val="ListParagraph"/>
                    <w:numPr>
                      <w:ilvl w:val="0"/>
                      <w:numId w:val="21"/>
                    </w:numPr>
                  </w:pPr>
                  <w:r>
                    <w:t xml:space="preserve">committal to any institution established by law;</w:t>
                  </w:r>
                  <w:r>
                    <w:rPr>
                      <w:color w:val="8DB3E2"/>
                      <w:vertAlign w:val="superscript"/>
                    </w:rPr>
                    <w:t xml:space="preserve">[152]</w:t>
                  </w:r>
                  <w:r>
                    <w:t xml:space="preserve"> and/or</w:t>
                  </w:r>
                </w:p>
                <w:p>
                  <w:pPr>
                    <w:pStyle w:val="BodyText"/>
                  </w:pPr>
                  <w:pPr>
                    <w:pStyle w:val="ListParagraph"/>
                    <w:numPr>
                      <w:ilvl w:val="0"/>
                      <w:numId w:val="21"/>
                    </w:numPr>
                  </w:pPr>
                  <w:r>
                    <w:t xml:space="preserve">a fine, the amount of which is determined by the presiding officer.</w:t>
                  </w:r>
                  <w:r>
                    <w:rPr>
                      <w:color w:val="8DB3E2"/>
                      <w:vertAlign w:val="superscript"/>
                    </w:rPr>
                    <w:t xml:space="preserve">[153]</w:t>
                  </w:r>
                </w:p>
                <w:p>
                  <w:pPr>
                    <w:pStyle w:val="BodyText"/>
                  </w:pPr>
                  <w:r>
                    <w:br/>
                  </w:r>
                  <w:r>
                    <w:br/>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5.6 Post-release restrictions</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pPr>
                    <w:pBdr>
                      <w:top w:val="single" w:sz="4"/>
                    </w:pBdr>
                  </w:pPr>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5.6.1 Does the law notify the victim of the offender's release from custody?</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Yes. Upon request by the victim, the victim will be notified when the abuser is to be considered for or released on parole.</w:t>
                  </w:r>
                </w:p>
                <w:p>
                  <w:pPr>
                    <w:pStyle w:val="BodyText"/>
                  </w:pPr>
                  <w:r>
                    <w:t xml:space="preserve">In this regard, the Service Charter for Victims in South Africa ("</w:t>
                  </w:r>
                  <w:r>
                    <w:rPr>
                      <w:b/>
                    </w:rPr>
                    <w:t xml:space="preserve">Victims Charter</w:t>
                  </w:r>
                  <w:r>
                    <w:t xml:space="preserve">") strives to comply with the United Nations Declaration of Basic Principles of Justice for Victims of Crime and Abuse of Power 1985.</w:t>
                  </w:r>
                  <w:r>
                    <w:rPr>
                      <w:color w:val="8DB3E2"/>
                      <w:vertAlign w:val="superscript"/>
                    </w:rPr>
                    <w:t xml:space="preserve">[154]</w:t>
                  </w:r>
                  <w:r>
                    <w:rPr>
                      <w:vertAlign w:val="superscript"/>
                    </w:rPr>
                    <w:t xml:space="preserve"> </w:t>
                  </w:r>
                  <w:r>
                    <w:t xml:space="preserve">Although the Victims Charter emphasizes the victims' right to receive information about the proceedings in which the victim is involved, the victim is required to request such information. In addition, the Victims Charter explicitly states that information on the abuser's release from custody will be provided only when the abuser is to be released on parole. It fails to mention whether or not the victim is entitled to a similar right where the abuser has completed his sentence or is released on other conditions.</w:t>
                  </w:r>
                  <w:r>
                    <w:rPr>
                      <w:color w:val="8DB3E2"/>
                      <w:vertAlign w:val="superscript"/>
                    </w:rPr>
                    <w:t xml:space="preserve">[155]</w:t>
                  </w:r>
                </w:p>
                <w:p>
                  <w:pPr>
                    <w:pStyle w:val="BodyText"/>
                  </w:pPr>
                  <w:r>
                    <w:br/>
                  </w:r>
                </w:p>
              </w:sdtContent>
            </w:sdt>
          </w:sdtContent>
        </w:sdt>
      </w:sdtContent>
    </w:sdt>
    <w:sdt>
      <w:sdtPr>
        <w:rPr>
          <w:rFonts w:eastAsiaTheme="minorHAnsi" w:cstheme="minorBidi"/>
          <w:b w:val="0"/>
          <w:color w:val="auto"/>
          <w:sz w:val="20"/>
          <w:szCs w:val="20"/>
        </w:rPr>
        <w:id w:val="-2026248521"/>
        <w:placeholder>
          <w:docPart w:val="3816F6170ABC43BCBDB278015F7ED7B2"/>
        </w:placeholder>
        <w15:repeatingSectionItem/>
      </w:sdtPr>
      <w:sdtEndPr>
        <w:rPr>
          <w:szCs w:val="22"/>
        </w:rPr>
      </w:sdtEndPr>
      <w:sdtContent>
        <w:p w:rsidRPr="008020A8" w:rsidR="002537D8" w:rsidP="002537D8" w:rsidRDefault="002537D8" w14:paraId="779BEB21" w14:textId="77777777">
          <w:pPr>
            <w:pStyle w:val="Heading1"/>
          </w:pPr>
          <w:r>
            <w:t>6.	Special issues</w:t>
          </w:r>
        </w:p>
        <w:bookmarkStart w:name="_Toc42606705" w:displacedByCustomXml="next" w:id="1"/>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6.1 Battered woman syndrome</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pPr>
                    <w:pBdr>
                      <w:top w:val="single" w:sz="4"/>
                    </w:pBdr>
                  </w:pPr>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6.1.1 Can lawyers present evidence of battered woman syndrome or other domestic abuse as an affirmative defense to crimes that the battered woman has committed? (Note: Battered Woman Syndrome is accepted by courts in certain jurisdictions to show that battered women can use force to defend themselves and sometimes kill their abusers due to abusive and life-threatening situations.)</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Lawyers can, and should, present evidence of battered woman syndrome for a crime a victim has committed; however, the interplay between the available support in terms of the criminal legal justice system and the deterrent of taking the law into one's own hands necessitates a nuanced inquiry into the surrounding circumstances. In the leading case</w:t>
                  </w:r>
                  <w:r>
                    <w:rPr>
                      <w:color w:val="8DB3E2"/>
                      <w:vertAlign w:val="superscript"/>
                    </w:rPr>
                    <w:t xml:space="preserve">[156]</w:t>
                  </w:r>
                  <w:r>
                    <w:t xml:space="preserve"> on this subject, the court found that:</w:t>
                  </w:r>
                </w:p>
                <w:p>
                  <w:pPr>
                    <w:pStyle w:val="BodyText"/>
                  </w:pPr>
                  <w:r>
                    <w:t xml:space="preserve">The scourge of domestic violence must be dealt with effectively by the State and society, and, if necessary by the courts. It would be contrary to the values of the Constitution to hold that that scourge provides a licence to abused partners to take the law into their own hands in the absence of grounds for lawful self-defense.</w:t>
                  </w:r>
                </w:p>
                <w:p>
                  <w:pPr>
                    <w:pStyle w:val="BodyText"/>
                  </w:pPr>
                  <w:r>
                    <w:t xml:space="preserve">Only the standard defenses for crimes can be used such as self-defense and necessity. If the victim committed the crime while being abused, it would be considered to be self-defense.</w:t>
                  </w:r>
                </w:p>
                <w:p>
                  <w:pPr>
                    <w:pStyle w:val="BodyText"/>
                  </w:pPr>
                  <w:r>
                    <w:t xml:space="preserve">If a victim committed the crime after the abuse, in some instances, it may still be considered self-defense. However, if the victim is found guilty of a crime, evidence of battered woman syndrome can be lead in order to reduce the victim's sentence. In order to receive a reduced sentence, there must be "substantial and compelling circumstances which justify a lesser sentence."</w:t>
                  </w:r>
                  <w:r>
                    <w:rPr>
                      <w:color w:val="8DB3E2"/>
                      <w:vertAlign w:val="superscript"/>
                    </w:rPr>
                    <w:t xml:space="preserve">[157]</w:t>
                  </w:r>
                </w:p>
                <w:p>
                  <w:pPr>
                    <w:pStyle w:val="BodyText"/>
                  </w:pPr>
                  <w:r>
                    <w:t xml:space="preserve">In the case of </w:t>
                  </w:r>
                  <w:r>
                    <w:rPr>
                      <w:i/>
                    </w:rPr>
                    <w:t xml:space="preserve">S v Ferreira and Others,</w:t>
                  </w:r>
                  <w:r>
                    <w:rPr>
                      <w:color w:val="8DB3E2"/>
                      <w:vertAlign w:val="superscript"/>
                    </w:rPr>
                    <w:t xml:space="preserve">[158]</w:t>
                  </w:r>
                  <w:r>
                    <w:t xml:space="preserve"> the SCA had to determine whether the accused was sentenced correctly. In this case, a victim had been abused constantly by the deceased and was under the belief that if she tried to leave her abuser, he would have her raped by other men. She had previously tried to leave and had contacted the police for assistance on three previous occasions. After the deceased threatened to hire men to rape her, the victim enlisted the assistance of two men in her community to kill the deceased one evening when he was drunk. All three of the accused were convicted of murder and sentenced to life imprisonment. On appeal, the judge took into account expert evidence, which spoke to the victim's abuse.</w:t>
                  </w:r>
                </w:p>
                <w:p>
                  <w:pPr>
                    <w:pStyle w:val="BodyText"/>
                  </w:pPr>
                  <w:r>
                    <w:t xml:space="preserve">Although in this case the victim hired others to kill the deceased, the judge did compare the facts of this case to other cases where victims may have killed their abuser the day or week after the abuse took place. The court found that if the question of "whether the threat from which each sought to escape was still, subjectively, perceived to be a real and present danger (albeit not imminent enough to escape criminal liability altogether) at the time of the offence" could be answered in the affirmative, then it is extremely difficult to conclude that the imprisonment sentences in each case should differ.</w:t>
                  </w:r>
                  <w:r>
                    <w:rPr>
                      <w:color w:val="8DB3E2"/>
                      <w:vertAlign w:val="superscript"/>
                    </w:rPr>
                    <w:t xml:space="preserve">[159]</w:t>
                  </w:r>
                </w:p>
                <w:p>
                  <w:pPr>
                    <w:pStyle w:val="BodyText"/>
                  </w:pPr>
                  <w:r>
                    <w:t xml:space="preserve">Based on the facts of this case, the victim's sentence was reduced from life imprisonment to six years' imprisonment, with the unserved portion suspended.</w:t>
                  </w:r>
                  <w:r>
                    <w:rPr>
                      <w:color w:val="8DB3E2"/>
                      <w:vertAlign w:val="superscript"/>
                    </w:rPr>
                    <w:t xml:space="preserve">[160]</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6.2 Domestic violence in the workplace</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pPr>
                    <w:pBdr>
                      <w:top w:val="single" w:sz="4"/>
                    </w:pBdr>
                  </w:pPr>
                  <w:r/>
                </w:p>
              </w:sdtContent>
            </w:sdt>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6.2.1 Can courts issue orders to protect employees suffering from domestic violence?</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As set out above, the DVA applies to persons who are in a "domestic relationship" as that term is defined in the DVA.</w:t>
                  </w:r>
                </w:p>
                <w:p>
                  <w:pPr>
                    <w:pStyle w:val="BodyText"/>
                  </w:pPr>
                  <w:r>
                    <w:t xml:space="preserve">The DVA provides that "any person who is or has been in a domestic relationship with a respondent and who is or has been subjected or allegedly subjected to an act of domestic violence, including any child in the care of" such person, may make an application for a protection order.</w:t>
                  </w:r>
                  <w:r>
                    <w:rPr>
                      <w:color w:val="8DB3E2"/>
                      <w:vertAlign w:val="superscript"/>
                    </w:rPr>
                    <w:t xml:space="preserve">[161]</w:t>
                  </w:r>
                </w:p>
                <w:p>
                  <w:pPr>
                    <w:pStyle w:val="BodyText"/>
                  </w:pPr>
                  <w:r>
                    <w:t xml:space="preserve">A "domestic relationship" is defined as a relationship between two people who:</w:t>
                  </w:r>
                </w:p>
                <w:p>
                  <w:pPr>
                    <w:pStyle w:val="BodyText"/>
                  </w:pPr>
                  <w:pPr>
                    <w:pStyle w:val="ListParagraph"/>
                    <w:numPr>
                      <w:ilvl w:val="0"/>
                      <w:numId w:val="17"/>
                    </w:numPr>
                  </w:pPr>
                  <w:r>
                    <w:t xml:space="preserve">are or were married to each other</w:t>
                  </w:r>
                </w:p>
                <w:p>
                  <w:pPr>
                    <w:pStyle w:val="BodyText"/>
                  </w:pPr>
                  <w:pPr>
                    <w:pStyle w:val="ListParagraph"/>
                    <w:numPr>
                      <w:ilvl w:val="0"/>
                      <w:numId w:val="17"/>
                    </w:numPr>
                  </w:pPr>
                  <w:r>
                    <w:t xml:space="preserve">live or lived together in a relationship in the nature of marriage, although they are not, or were not, married to each other, or are not able to be married to each other</w:t>
                  </w:r>
                </w:p>
                <w:p>
                  <w:pPr>
                    <w:pStyle w:val="BodyText"/>
                  </w:pPr>
                  <w:pPr>
                    <w:pStyle w:val="ListParagraph"/>
                    <w:numPr>
                      <w:ilvl w:val="0"/>
                      <w:numId w:val="17"/>
                    </w:numPr>
                  </w:pPr>
                  <w:r>
                    <w:t xml:space="preserve">are the parents of a child or are persons who have or had parental responsibility for that child (whether or not at the same time)</w:t>
                  </w:r>
                </w:p>
                <w:p>
                  <w:pPr>
                    <w:pStyle w:val="BodyText"/>
                  </w:pPr>
                  <w:pPr>
                    <w:pStyle w:val="ListParagraph"/>
                    <w:numPr>
                      <w:ilvl w:val="0"/>
                      <w:numId w:val="17"/>
                    </w:numPr>
                  </w:pPr>
                  <w:r>
                    <w:t xml:space="preserve">are family members related by blood, marriage or adoption</w:t>
                  </w:r>
                </w:p>
                <w:p>
                  <w:pPr>
                    <w:pStyle w:val="BodyText"/>
                  </w:pPr>
                  <w:pPr>
                    <w:pStyle w:val="ListParagraph"/>
                    <w:numPr>
                      <w:ilvl w:val="0"/>
                      <w:numId w:val="17"/>
                    </w:numPr>
                  </w:pPr>
                  <w:r>
                    <w:t xml:space="preserve">are or were in an engagement, dating or customary relationship, including an actual or perceived romantic, intimate or sexual relationship of any duration</w:t>
                  </w:r>
                </w:p>
                <w:p>
                  <w:pPr>
                    <w:pStyle w:val="BodyText"/>
                  </w:pPr>
                  <w:pPr>
                    <w:pStyle w:val="ListParagraph"/>
                    <w:numPr>
                      <w:ilvl w:val="0"/>
                      <w:numId w:val="17"/>
                    </w:numPr>
                  </w:pPr>
                  <w:r>
                    <w:t xml:space="preserve">share or recently shared the same residence</w:t>
                  </w:r>
                  <w:r>
                    <w:rPr>
                      <w:color w:val="8DB3E2"/>
                      <w:vertAlign w:val="superscript"/>
                    </w:rPr>
                    <w:t xml:space="preserve">[162]</w:t>
                  </w:r>
                </w:p>
                <w:p>
                  <w:pPr>
                    <w:pStyle w:val="BodyText"/>
                  </w:pPr>
                  <w:r>
                    <w:t xml:space="preserve">A strictly work relationship with a colleague is not included in the definition of a domestic relationship. Therefore, if an employee is sexually harassed at work, they may not be able to apply for a protection order (interim or otherwise) under the DVA for this reason.</w:t>
                  </w:r>
                </w:p>
                <w:p>
                  <w:pPr>
                    <w:pStyle w:val="BodyText"/>
                  </w:pPr>
                  <w:r>
                    <w:t xml:space="preserve">The employee's first steps should be addressing the sexual harassment at the workplace. The Amendment to the Code of Good Practice: Handling of Sexual Harassment Cases in Workplaces</w:t>
                  </w:r>
                  <w:r>
                    <w:rPr>
                      <w:color w:val="8DB3E2"/>
                      <w:vertAlign w:val="superscript"/>
                    </w:rPr>
                    <w:t xml:space="preserve">[163]</w:t>
                  </w:r>
                  <w:r>
                    <w:t xml:space="preserve"> ("</w:t>
                  </w:r>
                  <w:r>
                    <w:rPr>
                      <w:b/>
                    </w:rPr>
                    <w:t xml:space="preserve">Code of Good Practice</w:t>
                  </w:r>
                  <w:r>
                    <w:t xml:space="preserve">"), aims to eliminate sexual harassment in the workplace.</w:t>
                  </w:r>
                </w:p>
                <w:p>
                  <w:pPr>
                    <w:pStyle w:val="BodyText"/>
                  </w:pPr>
                  <w:r>
                    <w:t xml:space="preserve">Under the terms of the Code of Good Practice, each employer must implement a policy to deal with complaints of sexual harassment at work. If an employee is sexually harassed in the workplace, she should follow the procedure as set out in her employer's policy. This may include making a complaint at work and following a formal/informal procedure and a disciplinary sanction being imposed against the other employee, including dismissal.</w:t>
                  </w:r>
                </w:p>
                <w:p>
                  <w:pPr>
                    <w:pStyle w:val="BodyText"/>
                  </w:pPr>
                  <w:r>
                    <w:t xml:space="preserve">Should the harassment continue, the employee may also find recourse under the PFH Act. Under the PFH Act, any person who alleges that they were subjected to harassment</w:t>
                  </w:r>
                  <w:r>
                    <w:rPr>
                      <w:color w:val="8DB3E2"/>
                      <w:vertAlign w:val="superscript"/>
                    </w:rPr>
                    <w:t xml:space="preserve">[164]</w:t>
                  </w:r>
                  <w:r>
                    <w:t xml:space="preserve"> may apply to the court for a protection order. Under the terms of this protection order, the court may:</w:t>
                  </w:r>
                </w:p>
                <w:p>
                  <w:pPr>
                    <w:pStyle w:val="BodyText"/>
                  </w:pPr>
                  <w:pPr>
                    <w:pStyle w:val="ListParagraph"/>
                    <w:numPr>
                      <w:ilvl w:val="0"/>
                      <w:numId w:val="18"/>
                    </w:numPr>
                  </w:pPr>
                  <w:r>
                    <w:t xml:space="preserve">prohibit the harasser from:</w:t>
                  </w:r>
                </w:p>
                <w:p>
                  <w:pPr>
                    <w:pStyle w:val="BodyText"/>
                  </w:pPr>
                  <w:pPr>
                    <w:pStyle w:val="ListParagraph"/>
                    <w:numPr>
                      <w:ilvl w:val="0"/>
                      <w:numId w:val="19"/>
                    </w:numPr>
                  </w:pPr>
                  <w:r>
                    <w:t xml:space="preserve">engaging in or attempting to engage in harassment</w:t>
                  </w:r>
                </w:p>
                <w:p>
                  <w:pPr>
                    <w:pStyle w:val="BodyText"/>
                  </w:pPr>
                  <w:pPr>
                    <w:pStyle w:val="ListParagraph"/>
                    <w:numPr>
                      <w:ilvl w:val="0"/>
                      <w:numId w:val="19"/>
                    </w:numPr>
                  </w:pPr>
                  <w:r>
                    <w:t xml:space="preserve">enlisting the help of another person to engage in harassment</w:t>
                  </w:r>
                </w:p>
                <w:p>
                  <w:pPr>
                    <w:pStyle w:val="BodyText"/>
                  </w:pPr>
                  <w:pPr>
                    <w:pStyle w:val="ListParagraph"/>
                    <w:numPr>
                      <w:ilvl w:val="0"/>
                      <w:numId w:val="19"/>
                    </w:numPr>
                  </w:pPr>
                  <w:r>
                    <w:t xml:space="preserve">committing any other act that may be specified in the protection order</w:t>
                  </w:r>
                  <w:r>
                    <w:rPr>
                      <w:color w:val="8DB3E2"/>
                      <w:vertAlign w:val="superscript"/>
                    </w:rPr>
                    <w:t xml:space="preserve">[165]</w:t>
                  </w:r>
                </w:p>
                <w:p>
                  <w:pPr>
                    <w:pStyle w:val="BodyText"/>
                  </w:pPr>
                  <w:pPr>
                    <w:pStyle w:val="ListParagraph"/>
                    <w:numPr>
                      <w:ilvl w:val="0"/>
                      <w:numId w:val="20"/>
                    </w:numPr>
                  </w:pPr>
                  <w:r>
                    <w:t xml:space="preserve">impose any other condition that "it deems necessary to protect and provide for the safety or well-being of the [victim] or related person"</w:t>
                  </w:r>
                  <w:r>
                    <w:rPr>
                      <w:color w:val="8DB3E2"/>
                      <w:vertAlign w:val="superscript"/>
                    </w:rPr>
                    <w:t xml:space="preserve">[166]</w:t>
                  </w:r>
                </w:p>
                <w:p>
                  <w:pPr>
                    <w:pStyle w:val="BodyText"/>
                  </w:pPr>
                  <w:r>
                    <w:t xml:space="preserve"> order a member of the South African Police Service to seize any weapon in the harasser's possession or accompany the victim to collect or make arrangements for the collection of their personal possessions</w:t>
                  </w:r>
                  <w:r>
                    <w:rPr>
                      <w:color w:val="8DB3E2"/>
                      <w:vertAlign w:val="superscript"/>
                    </w:rPr>
                    <w:t xml:space="preserve">[167]</w:t>
                  </w:r>
                  <w:r>
                    <w:br/>
                  </w:r>
                  <w:r>
                    <w:br/>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6.2.2 Can departure be deemed "for good cause" if related to domestic violence?</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An employee may only be dismissed for misconduct, incapacity or the employer's operational requirements.</w:t>
                  </w:r>
                  <w:r>
                    <w:rPr>
                      <w:color w:val="8DB3E2"/>
                      <w:vertAlign w:val="superscript"/>
                    </w:rPr>
                    <w:t xml:space="preserve">[168]</w:t>
                  </w:r>
                  <w:r>
                    <w:rPr>
                      <w:vertAlign w:val="superscript"/>
                    </w:rPr>
                    <w:t xml:space="preserve"> </w:t>
                  </w:r>
                  <w:r>
                    <w:t xml:space="preserve">Dismissing the employee for any other reason may be considered unfair.</w:t>
                  </w:r>
                  <w:r>
                    <w:rPr>
                      <w:color w:val="8DB3E2"/>
                      <w:vertAlign w:val="superscript"/>
                    </w:rPr>
                    <w:t xml:space="preserve">[169]</w:t>
                  </w:r>
                  <w:r>
                    <w:rPr>
                      <w:vertAlign w:val="superscript"/>
                    </w:rPr>
                    <w:t xml:space="preserve"> </w:t>
                  </w:r>
                  <w:r>
                    <w:t xml:space="preserve">Should an employee's dismissal be deemed unfair, the employer may be ordered by the Commission for Conciliation, Meditation and Arbitration (CCMA) or the labor court to compensate or reinstate the employee.</w:t>
                  </w:r>
                </w:p>
                <w:p>
                  <w:pPr>
                    <w:pStyle w:val="BodyText"/>
                  </w:pPr>
                  <w:r>
                    <w:t xml:space="preserve">In order for an employer to dismiss an employee for misconduct, the employee must have contravened a rule or standard regulating conduct in the workplace.</w:t>
                  </w:r>
                  <w:r>
                    <w:rPr>
                      <w:color w:val="8DB3E2"/>
                      <w:vertAlign w:val="superscript"/>
                    </w:rPr>
                    <w:t xml:space="preserve">[170]</w:t>
                  </w:r>
                  <w:r>
                    <w:rPr>
                      <w:vertAlign w:val="superscript"/>
                    </w:rPr>
                    <w:t xml:space="preserve"> </w:t>
                  </w:r>
                  <w:r>
                    <w:t xml:space="preserve">In addition, the employer must be able to prove that:</w:t>
                  </w:r>
                </w:p>
                <w:p>
                  <w:pPr>
                    <w:pStyle w:val="BodyText"/>
                  </w:pPr>
                  <w:pPr>
                    <w:pStyle w:val="ListParagraph"/>
                    <w:numPr>
                      <w:ilvl w:val="0"/>
                      <w:numId w:val="16"/>
                    </w:numPr>
                  </w:pPr>
                  <w:r>
                    <w:t xml:space="preserve">the rule or standard was valid or reasonable</w:t>
                  </w:r>
                </w:p>
                <w:p>
                  <w:pPr>
                    <w:pStyle w:val="BodyText"/>
                  </w:pPr>
                  <w:pPr>
                    <w:pStyle w:val="ListParagraph"/>
                    <w:numPr>
                      <w:ilvl w:val="0"/>
                      <w:numId w:val="16"/>
                    </w:numPr>
                  </w:pPr>
                  <w:r>
                    <w:t xml:space="preserve">the employee was aware, or could reasonably be expected to have been aware, of the rule or standard</w:t>
                  </w:r>
                </w:p>
                <w:p>
                  <w:pPr>
                    <w:pStyle w:val="BodyText"/>
                  </w:pPr>
                  <w:pPr>
                    <w:pStyle w:val="ListParagraph"/>
                    <w:numPr>
                      <w:ilvl w:val="0"/>
                      <w:numId w:val="16"/>
                    </w:numPr>
                  </w:pPr>
                  <w:r>
                    <w:t xml:space="preserve">the rule or standard has been consistently applied by the employer</w:t>
                  </w:r>
                </w:p>
                <w:p>
                  <w:pPr>
                    <w:pStyle w:val="BodyText"/>
                  </w:pPr>
                  <w:pPr>
                    <w:pStyle w:val="ListParagraph"/>
                    <w:numPr>
                      <w:ilvl w:val="0"/>
                      <w:numId w:val="16"/>
                    </w:numPr>
                  </w:pPr>
                  <w:r>
                    <w:t xml:space="preserve">dismissal was an appropriate sanction for the contravention of the rule or standard</w:t>
                  </w:r>
                  <w:r>
                    <w:rPr>
                      <w:color w:val="8DB3E2"/>
                      <w:vertAlign w:val="superscript"/>
                    </w:rPr>
                    <w:t xml:space="preserve">[171]</w:t>
                  </w:r>
                </w:p>
                <w:p>
                  <w:pPr>
                    <w:pStyle w:val="BodyText"/>
                  </w:pPr>
                  <w:r>
                    <w:t xml:space="preserve">Employees also have a common law duty to act in good faith and act in the best interests of the employer at all times. Therefore, if the employee's conduct outside of the workplace reasonably bring the employer's name into disrepute, an employer may be entitled to discipline or dismiss the employee (in serious cases).</w:t>
                  </w:r>
                </w:p>
                <w:p>
                  <w:pPr>
                    <w:pStyle w:val="BodyText"/>
                  </w:pPr>
                  <w:r>
                    <w:t xml:space="preserve"> For example, if the employee was wearing the employer's uniform and assaulted a victim in public, an employer may decide to hold a disciplinary hearing at work to determine the appropriate sanction. However, this must be determined on a case-by-case basis and must be carefully analyzed by a labor law expert to avoid an unfair dismissal finding against the employer.</w:t>
                  </w:r>
                  <w:r>
                    <w:br/>
                  </w:r>
                  <w:r>
                    <w:br/>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6.2.3 Can family members of domestic violence victims take reasonable leave to help the victim seek treatment or obtain help and services?</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Family members would need to take annual leave in this instance.</w:t>
                  </w:r>
                  <w:r>
                    <w:rPr>
                      <w:color w:val="8DB3E2"/>
                      <w:vertAlign w:val="superscript"/>
                    </w:rPr>
                    <w:t xml:space="preserve">[172]</w:t>
                  </w:r>
                </w:p>
                <w:p>
                  <w:pPr>
                    <w:pStyle w:val="BodyText"/>
                  </w:pPr>
                  <w:r>
                    <w:t xml:space="preserve">South Africans are given three days' family responsibility leave, which may only be used in the following circumstances:</w:t>
                  </w:r>
                </w:p>
                <w:p>
                  <w:pPr>
                    <w:pStyle w:val="BodyText"/>
                  </w:pPr>
                  <w:pPr>
                    <w:pStyle w:val="ListParagraph"/>
                    <w:numPr>
                      <w:ilvl w:val="0"/>
                      <w:numId w:val="15"/>
                    </w:numPr>
                  </w:pPr>
                  <w:r>
                    <w:t xml:space="preserve">when an employee's child is born</w:t>
                  </w:r>
                </w:p>
                <w:p>
                  <w:pPr>
                    <w:pStyle w:val="BodyText"/>
                  </w:pPr>
                  <w:pPr>
                    <w:pStyle w:val="ListParagraph"/>
                    <w:numPr>
                      <w:ilvl w:val="0"/>
                      <w:numId w:val="15"/>
                    </w:numPr>
                  </w:pPr>
                  <w:r>
                    <w:t xml:space="preserve">when an employee's child is sick</w:t>
                  </w:r>
                </w:p>
                <w:p>
                  <w:pPr>
                    <w:pStyle w:val="BodyText"/>
                  </w:pPr>
                  <w:pPr>
                    <w:pStyle w:val="ListParagraph"/>
                    <w:numPr>
                      <w:ilvl w:val="0"/>
                      <w:numId w:val="15"/>
                    </w:numPr>
                  </w:pPr>
                  <w:r>
                    <w:t xml:space="preserve">in the event of the death of the employee's spouse, life partner, child, parent, grandparent, grandchild or sibling</w:t>
                  </w:r>
                  <w:r>
                    <w:rPr>
                      <w:color w:val="8DB3E2"/>
                      <w:vertAlign w:val="superscript"/>
                    </w:rPr>
                    <w:t xml:space="preserve">[173]</w:t>
                  </w:r>
                </w:p>
                <w:p>
                  <w:pPr>
                    <w:pStyle w:val="BodyText"/>
                  </w:pPr>
                  <w:r>
                    <w:rPr>
                      <w:b/>
                    </w:rPr>
                    <w:t xml:space="preserve">Regional and international law analysis and comparison</w:t>
                  </w:r>
                </w:p>
                <w:p>
                  <w:pPr>
                    <w:pStyle w:val="BodyText"/>
                  </w:pPr>
                  <w:r>
                    <w:t xml:space="preserve">The International Labour Organization (ILO) has introduced the Convention on Violence and Harassment ("</w:t>
                  </w:r>
                  <w:r>
                    <w:rPr>
                      <w:b/>
                    </w:rPr>
                    <w:t xml:space="preserve">ILO</w:t>
                  </w:r>
                  <w:r>
                    <w:t xml:space="preserve"> </w:t>
                  </w:r>
                  <w:r>
                    <w:rPr>
                      <w:b/>
                    </w:rPr>
                    <w:t xml:space="preserve">Convention</w:t>
                  </w:r>
                  <w:r>
                    <w:t xml:space="preserve">"). The ILO Convention requires that each member state ensure that they "recognize the effects of domestic violence and, so far as is reasonably practicable, mitigate its impact in the world of work."</w:t>
                  </w:r>
                  <w:r>
                    <w:rPr>
                      <w:color w:val="8DB3E2"/>
                      <w:vertAlign w:val="superscript"/>
                    </w:rPr>
                    <w:t xml:space="preserve">[174]</w:t>
                  </w:r>
                  <w:r>
                    <w:rPr>
                      <w:vertAlign w:val="superscript"/>
                    </w:rPr>
                    <w:t xml:space="preserve"> </w:t>
                  </w:r>
                  <w:r>
                    <w:t xml:space="preserve">This would provide employees who are in an abusive domestic relationship further protection. However, the ILO Convention requires member states to adopt and implement these provisions in terms of local law. Therefore, the ILO in itself would not be an appropriate mechanism for employees to seek recourse.</w:t>
                  </w:r>
                </w:p>
                <w:p>
                  <w:pPr>
                    <w:pStyle w:val="BodyText"/>
                  </w:pPr>
                  <w:r>
                    <w:t xml:space="preserve">The Minister of Employment and Labour plans to implement the ILO Convention using the recently published draft Code of Good Practice on the Prevention and Elimination of Violence and Harassment in the World of Work ("</w:t>
                  </w:r>
                  <w:r>
                    <w:rPr>
                      <w:b/>
                    </w:rPr>
                    <w:t xml:space="preserve">Draft Code</w:t>
                  </w:r>
                  <w:r>
                    <w:t xml:space="preserve">"). Under the terms of the Draft Code, employers will be required to implement measures to mitigate the effect of domestic violence and harassment where it affects their employees. These measures are focused on helping victims of domestic violence by, </w:t>
                  </w:r>
                  <w:r>
                    <w:rPr>
                      <w:i/>
                    </w:rPr>
                    <w:t xml:space="preserve">inter alia</w:t>
                  </w:r>
                  <w:r>
                    <w:t xml:space="preserve">, allowing flexible working arrangements and temporary protection from dismissals. The Draft Code has only been published for public comment, and therefore it may still be amended.</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6.3 Immigration</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pPr>
                    <w:pBdr>
                      <w:top w:val="single" w:sz="4"/>
                    </w:pBdr>
                  </w:pPr>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6.3.1 Does the law include provisions that are intended to prevent abusers who are citizens or permanent residents from using immigration laws to perpetrate domestic violence against their spouse?</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The law does not contain specific provisions that are intended to prevent abusers, who are South African citizens or permanent residents, from using immigration laws to perpetrate domestic violence against their spouse(s).</w:t>
                  </w:r>
                </w:p>
                <w:p>
                  <w:pPr>
                    <w:pStyle w:val="BodyText"/>
                  </w:pPr>
                  <w:r>
                    <w:t xml:space="preserve"> The Refugees Act</w:t>
                  </w:r>
                  <w:r>
                    <w:rPr>
                      <w:color w:val="8DB3E2"/>
                      <w:vertAlign w:val="superscript"/>
                    </w:rPr>
                    <w:t xml:space="preserve">[175]</w:t>
                  </w:r>
                  <w:r>
                    <w:rPr>
                      <w:vertAlign w:val="superscript"/>
                    </w:rPr>
                    <w:t xml:space="preserve"> </w:t>
                  </w:r>
                  <w:r>
                    <w:t xml:space="preserve">makes provision to exclude migrants or persons applying for refugee status if the person has committed a crime in another country that is not of a political nature or committed a crime that</w:t>
                  </w:r>
                  <w:r>
                    <w:rPr>
                      <w:i/>
                    </w:rPr>
                    <w:t xml:space="preserve"> </w:t>
                  </w:r>
                  <w:r>
                    <w:t xml:space="preserve">"is listed in Schedule 2 of the Criminal Law Amendment Act or which is punishable by imprisonment without the option of a fine."</w:t>
                  </w:r>
                  <w:r>
                    <w:rPr>
                      <w:color w:val="8DB3E2"/>
                      <w:vertAlign w:val="superscript"/>
                    </w:rPr>
                    <w:t xml:space="preserve">[176]</w:t>
                  </w:r>
                  <w:r>
                    <w:t xml:space="preserve"> </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6.3.2 If battered immigrants cooperate with law enforcement in domestic violence, can they obtain immigration remedies?</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We are not aware of any specific immigration remedies that immigrants who cooperate with law enforcement relating to domestic violence would be able to rely on.</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6.3.3 Does domestic violence law discuss asylum accessibility?</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An asylum seeker will not qualify for refugee status in South Africa, according to the Refugee Act, if it is believed that the asylum seeker has committed a crime in South Africa that is listed in </w:t>
                  </w:r>
                  <w:hyperlink w:history="true" r:id="R075a31293a1e40be">
                    <w:r>
                      <w:rPr>
                        <w:rStyle w:val="Hyperlink"/>
                        <w:color w:val="000000"/>
                      </w:rPr>
                      <w:t xml:space="preserve">Schedule 2 of the Criminal Law Amendment Act, 1997 (Act 105 of 1997)</w:t>
                    </w:r>
                  </w:hyperlink>
                  <w:r>
                    <w:t xml:space="preserve">,</w:t>
                  </w:r>
                  <w:r>
                    <w:rPr>
                      <w:color w:val="8DB3E2"/>
                      <w:vertAlign w:val="superscript"/>
                    </w:rPr>
                    <w:t xml:space="preserve">[177]</w:t>
                  </w:r>
                  <w:r>
                    <w:t xml:space="preserve">or which is punishable by imprisonment without the option of a fine. Schedule 2 crimes that may be applicable for domestic violence include murder, rape, sexual offences, assault, breaking and entering premises, and kidnapping.</w:t>
                  </w:r>
                </w:p>
                <w:p>
                  <w:pPr>
                    <w:pStyle w:val="BodyText"/>
                  </w:pPr>
                  <w:r>
                    <w:rPr>
                      <w:b/>
                    </w:rPr>
                    <w:t xml:space="preserve">Regional and international law analysis and comparison</w:t>
                  </w:r>
                </w:p>
                <w:p>
                  <w:pPr>
                    <w:pStyle w:val="BodyText"/>
                  </w:pPr>
                  <w:r>
                    <w:t xml:space="preserve">In accordance with the Maputo Protocol, women have equal rights and equal access to the refugee status determination procedure in South Africa. However, there is no mention of asylum accessibility to victims of domestic violence in the Refugee Act.</w:t>
                  </w:r>
                  <w:r>
                    <w:rPr>
                      <w:color w:val="8DB3E2"/>
                      <w:vertAlign w:val="superscript"/>
                    </w:rPr>
                    <w:t xml:space="preserve">[178]</w:t>
                  </w:r>
                </w:p>
                <w:p>
                  <w:pPr>
                    <w:pStyle w:val="BodyText"/>
                  </w:pPr>
                  <w:r>
                    <w:t xml:space="preserve">Whilst a number of countries have introduced legislation or supplementary legislation that provides benefits for survivors to apply for immigration status independently of the perpetrator, South Africa does not have specific legislation that would assist or benefit victims of domestic violence in relation to immigration. This is an area that requires further clarification and development.</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6.4 Armed forces </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pPr>
                    <w:pBdr>
                      <w:top w:val="single" w:sz="4"/>
                    </w:pBdr>
                  </w:pPr>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6.4.1 Can a victim seek a military protective order if the abuser is in active military?</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The South African National Defence Force (SANDF) does not have a specific policy relating to domestic violence, but they rely on their Military Discipline Bill</w:t>
                  </w:r>
                  <w:r>
                    <w:rPr>
                      <w:color w:val="8DB3E2"/>
                      <w:vertAlign w:val="superscript"/>
                    </w:rPr>
                    <w:t xml:space="preserve">[179]</w:t>
                  </w:r>
                  <w:r>
                    <w:rPr>
                      <w:vertAlign w:val="superscript"/>
                    </w:rPr>
                    <w:t xml:space="preserve"> </w:t>
                  </w:r>
                  <w:r>
                    <w:t xml:space="preserve">to guide them on the approach to take with misconduct. When a person that is subject to the Military Discipline Bill is suspected of attempting to commit or has committed a sexual offense for example, the matter must be dealt with in accordance with the provisions of the National Prosecuting Authority Act </w:t>
                  </w:r>
                  <w:r>
                    <w:rPr>
                      <w:color w:val="8DB3E2"/>
                      <w:vertAlign w:val="superscript"/>
                    </w:rPr>
                    <w:t xml:space="preserve">[180]</w:t>
                  </w:r>
                  <w:r>
                    <w:rPr>
                      <w:vertAlign w:val="superscript"/>
                    </w:rPr>
                    <w:t xml:space="preserve"> </w:t>
                  </w:r>
                  <w:r>
                    <w:t xml:space="preserve">and any subsequent trial must take place in a civilian court.</w:t>
                  </w:r>
                </w:p>
                <w:p>
                  <w:pPr>
                    <w:pStyle w:val="BodyText"/>
                  </w:pPr>
                  <w:r>
                    <w:t xml:space="preserve">While South Africa does not have a military protective order equivalent (as is available in the United States of America, for example), the CPO is available to victims (as discussed above) and, in addition, members of the SANDF should be held accountable using the Military Discipline Bill and the National Prosecuting Authority Act.</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6.5 Child custody and child/spousal support</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pPr>
                    <w:pBdr>
                      <w:top w:val="single" w:sz="4"/>
                    </w:pBdr>
                  </w:pPr>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6.5.1 Do judges follow special rules to determine custody or visitation of children in domestic violence cases?</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When the court makes a decision at the conclusion of child custody cases, the court must ensure that the decision made is in the </w:t>
                  </w:r>
                  <w:r>
                    <w:rPr>
                      <w:b/>
                    </w:rPr>
                    <w:t xml:space="preserve">best interests of the child</w:t>
                  </w:r>
                  <w:r>
                    <w:t xml:space="preserve">.</w:t>
                  </w:r>
                  <w:r>
                    <w:rPr>
                      <w:color w:val="8DB3E2"/>
                      <w:vertAlign w:val="superscript"/>
                    </w:rPr>
                    <w:t xml:space="preserve">[181]</w:t>
                  </w:r>
                  <w:r>
                    <w:rPr>
                      <w:vertAlign w:val="superscript"/>
                    </w:rPr>
                    <w:t xml:space="preserve"> </w:t>
                  </w:r>
                  <w:r>
                    <w:t xml:space="preserve">This is similar to international trends.</w:t>
                  </w:r>
                  <w:r>
                    <w:rPr>
                      <w:color w:val="8DB3E2"/>
                      <w:vertAlign w:val="superscript"/>
                    </w:rPr>
                    <w:t xml:space="preserve">[182]</w:t>
                  </w:r>
                  <w:r>
                    <w:rPr>
                      <w:vertAlign w:val="superscript"/>
                    </w:rPr>
                    <w:t xml:space="preserve"> </w:t>
                  </w:r>
                  <w:r>
                    <w:t xml:space="preserve">The Children's Act stipulates that the child's best interests are of paramount importance in all matters concerning the care, protection and well-being of a child.</w:t>
                  </w:r>
                  <w:r>
                    <w:rPr>
                      <w:color w:val="8DB3E2"/>
                      <w:vertAlign w:val="superscript"/>
                    </w:rPr>
                    <w:t xml:space="preserve">[183]</w:t>
                  </w:r>
                  <w:r>
                    <w:rPr>
                      <w:vertAlign w:val="superscript"/>
                    </w:rPr>
                    <w:t xml:space="preserve"> </w:t>
                  </w:r>
                  <w:r>
                    <w:t xml:space="preserve">Every child custody case is handled in this way. The decision of the court is dictated by the circumstances of each case, one of the factors that affects the custody of a child is the need to protect the child from any physical or psychological harm that may be caused by exposing the child to maltreatment, abuse, degradation, ill-treatment, violence or harmful behavior toward another person.</w:t>
                  </w:r>
                  <w:r>
                    <w:rPr>
                      <w:color w:val="8DB3E2"/>
                      <w:vertAlign w:val="superscript"/>
                    </w:rPr>
                    <w:t xml:space="preserve">[184]</w:t>
                  </w:r>
                </w:p>
                <w:p>
                  <w:pPr>
                    <w:pStyle w:val="BodyText"/>
                  </w:pPr>
                  <w:r>
                    <w:t xml:space="preserve">Determining what custody arrangement will serve the best interests of the child in any particular case involves the high court making a value judgment based on its finding of facts in the exercise of its inherent jurisdiction as the upper guardian of minor children.</w:t>
                  </w:r>
                  <w:r>
                    <w:rPr>
                      <w:color w:val="8DB3E2"/>
                      <w:vertAlign w:val="superscript"/>
                    </w:rPr>
                    <w:t xml:space="preserve">[185]</w:t>
                  </w:r>
                  <w:r>
                    <w:t xml:space="preserve"> The Children's Act sets out certain factors, which constitute a nonexhaustive check list of criteria to serve as a guide of what information is relevant to the application of the best interest standard. These factors include:</w:t>
                  </w:r>
                </w:p>
                <w:p>
                  <w:pPr>
                    <w:pStyle w:val="BodyText"/>
                  </w:pPr>
                  <w:pPr>
                    <w:pStyle w:val="ListParagraph"/>
                    <w:numPr>
                      <w:ilvl w:val="0"/>
                      <w:numId w:val="14"/>
                    </w:numPr>
                  </w:pPr>
                  <w:r>
                    <w:t xml:space="preserve">the nature of the personal relationship between the child and the parents and any other care­giver;</w:t>
                  </w:r>
                </w:p>
                <w:p>
                  <w:pPr>
                    <w:pStyle w:val="BodyText"/>
                  </w:pPr>
                  <w:pPr>
                    <w:pStyle w:val="ListParagraph"/>
                    <w:numPr>
                      <w:ilvl w:val="0"/>
                      <w:numId w:val="14"/>
                    </w:numPr>
                  </w:pPr>
                  <w:r>
                    <w:t xml:space="preserve">the attitude of the parents towards the child and the exercise of parental responsibilities and rights in respect of the child;</w:t>
                  </w:r>
                </w:p>
                <w:p>
                  <w:pPr>
                    <w:pStyle w:val="BodyText"/>
                  </w:pPr>
                  <w:pPr>
                    <w:pStyle w:val="ListParagraph"/>
                    <w:numPr>
                      <w:ilvl w:val="0"/>
                      <w:numId w:val="14"/>
                    </w:numPr>
                  </w:pPr>
                  <w:r>
                    <w:t xml:space="preserve">the capacity of the parents or of any other care­giver or person, to provide for the needs of the child, including emotional and intellectual needs;</w:t>
                  </w:r>
                </w:p>
                <w:p>
                  <w:pPr>
                    <w:pStyle w:val="BodyText"/>
                  </w:pPr>
                  <w:pPr>
                    <w:pStyle w:val="ListParagraph"/>
                    <w:numPr>
                      <w:ilvl w:val="0"/>
                      <w:numId w:val="14"/>
                    </w:numPr>
                  </w:pPr>
                  <w:r>
                    <w:t xml:space="preserve">the likely effect on the child of any change in the child's circumstances, including the likely effect on the child of any separation from their parents or any siblings or other child, or any other care­giver or person with whom the child has been living;</w:t>
                  </w:r>
                </w:p>
                <w:p>
                  <w:pPr>
                    <w:pStyle w:val="BodyText"/>
                  </w:pPr>
                  <w:pPr>
                    <w:pStyle w:val="ListParagraph"/>
                    <w:numPr>
                      <w:ilvl w:val="0"/>
                      <w:numId w:val="14"/>
                    </w:numPr>
                  </w:pPr>
                  <w:r>
                    <w:t xml:space="preserve">the practical difficulty and expense of a child having contact with their parents, and whether that difficulty or expense will substantially affect the child's right to maintain personal relations and direct contact with their parents on a regular basis;</w:t>
                  </w:r>
                </w:p>
                <w:p>
                  <w:pPr>
                    <w:pStyle w:val="BodyText"/>
                  </w:pPr>
                  <w:pPr>
                    <w:pStyle w:val="ListParagraph"/>
                    <w:numPr>
                      <w:ilvl w:val="0"/>
                      <w:numId w:val="14"/>
                    </w:numPr>
                  </w:pPr>
                  <w:r>
                    <w:t xml:space="preserve">the need for the child to remain in the care of his or her parent and family and to maintain a connection with his or her family, culture or tradition;</w:t>
                  </w:r>
                </w:p>
                <w:p>
                  <w:pPr>
                    <w:pStyle w:val="BodyText"/>
                  </w:pPr>
                  <w:pPr>
                    <w:pStyle w:val="ListParagraph"/>
                    <w:numPr>
                      <w:ilvl w:val="0"/>
                      <w:numId w:val="14"/>
                    </w:numPr>
                  </w:pPr>
                  <w:r>
                    <w:t xml:space="preserve">the child's (i) age, maturity and stage of development; (ii) gender; (iii) background; and (iv) any other relevant characteristics of the child;</w:t>
                  </w:r>
                </w:p>
                <w:p>
                  <w:pPr>
                    <w:pStyle w:val="BodyText"/>
                  </w:pPr>
                  <w:pPr>
                    <w:pStyle w:val="ListParagraph"/>
                    <w:numPr>
                      <w:ilvl w:val="0"/>
                      <w:numId w:val="14"/>
                    </w:numPr>
                  </w:pPr>
                  <w:r>
                    <w:t xml:space="preserve">the child's physical and emotional security and his or her intellectual, emotional, social and cultural development;</w:t>
                  </w:r>
                </w:p>
                <w:p>
                  <w:pPr>
                    <w:pStyle w:val="BodyText"/>
                  </w:pPr>
                  <w:pPr>
                    <w:pStyle w:val="ListParagraph"/>
                    <w:numPr>
                      <w:ilvl w:val="0"/>
                      <w:numId w:val="14"/>
                    </w:numPr>
                  </w:pPr>
                  <w:r>
                    <w:t xml:space="preserve">any disability that a child may have;</w:t>
                  </w:r>
                </w:p>
                <w:p>
                  <w:pPr>
                    <w:pStyle w:val="BodyText"/>
                  </w:pPr>
                  <w:pPr>
                    <w:pStyle w:val="ListParagraph"/>
                    <w:numPr>
                      <w:ilvl w:val="0"/>
                      <w:numId w:val="14"/>
                    </w:numPr>
                  </w:pPr>
                  <w:r>
                    <w:t xml:space="preserve">any chronic illness from which a child may suffer;</w:t>
                  </w:r>
                </w:p>
                <w:p>
                  <w:pPr>
                    <w:pStyle w:val="BodyText"/>
                  </w:pPr>
                  <w:pPr>
                    <w:pStyle w:val="ListParagraph"/>
                    <w:numPr>
                      <w:ilvl w:val="0"/>
                      <w:numId w:val="14"/>
                    </w:numPr>
                  </w:pPr>
                  <w:r>
                    <w:t xml:space="preserve">the need for a child to be brought up within a stable family environment and, where this is not possible, in an environment resembling as closely as possible a caring family environment;</w:t>
                  </w:r>
                </w:p>
                <w:p>
                  <w:pPr>
                    <w:pStyle w:val="BodyText"/>
                  </w:pPr>
                  <w:pPr>
                    <w:pStyle w:val="ListParagraph"/>
                    <w:numPr>
                      <w:ilvl w:val="0"/>
                      <w:numId w:val="14"/>
                    </w:numPr>
                  </w:pPr>
                  <w:r>
                    <w:t xml:space="preserve">the need to protect the child from any physical or psychological harm that may be caused by subjecting the child to maltreatment, abuse, neglect, exploitation or degradation or exposing the child to violence or exploitation or other harmful behaviour; or exposing the child to maltreatment, abuse, degradation, ill-treatment, violence or harmful behaviour towards another person;</w:t>
                  </w:r>
                </w:p>
                <w:p>
                  <w:pPr>
                    <w:pStyle w:val="BodyText"/>
                  </w:pPr>
                  <w:pPr>
                    <w:pStyle w:val="ListParagraph"/>
                    <w:numPr>
                      <w:ilvl w:val="0"/>
                      <w:numId w:val="14"/>
                    </w:numPr>
                  </w:pPr>
                  <w:r>
                    <w:t xml:space="preserve">any family violence involving the child or a family member of the child; and</w:t>
                  </w:r>
                </w:p>
                <w:p>
                  <w:pPr>
                    <w:pStyle w:val="BodyText"/>
                  </w:pPr>
                  <w:pPr>
                    <w:pStyle w:val="ListParagraph"/>
                    <w:numPr>
                      <w:ilvl w:val="0"/>
                      <w:numId w:val="14"/>
                    </w:numPr>
                  </w:pPr>
                  <w:r>
                    <w:t xml:space="preserve">which action or decision would avoid or minimise further legal or administrative proceedings in relation to the child.</w:t>
                  </w:r>
                  <w:r>
                    <w:rPr>
                      <w:color w:val="8DB3E2"/>
                      <w:vertAlign w:val="superscript"/>
                    </w:rPr>
                    <w:t xml:space="preserve">[186]</w:t>
                  </w:r>
                </w:p>
                <w:p>
                  <w:pPr>
                    <w:pStyle w:val="BodyText"/>
                  </w:pPr>
                  <w:r>
                    <w:t xml:space="preserve">If it is in the best interests of the victim, the court may prohibit an abuser from entering or remaining in the shared residence of the victim and the abuser.</w:t>
                  </w:r>
                  <w:r>
                    <w:rPr>
                      <w:color w:val="8DB3E2"/>
                      <w:vertAlign w:val="superscript"/>
                    </w:rPr>
                    <w:t xml:space="preserve">[187]</w:t>
                  </w:r>
                  <w:r>
                    <w:t xml:space="preserve"> Although a child may not be a victim of an abuser's crimes, the Children's Act specifically takes into consideration the need to protect children from physical and psychological harm, which may be caused by exposing a child to an act of domestic violence toward another person.</w:t>
                  </w:r>
                  <w:r>
                    <w:rPr>
                      <w:color w:val="8DB3E2"/>
                      <w:vertAlign w:val="superscript"/>
                    </w:rPr>
                    <w:t xml:space="preserve">[188]</w:t>
                  </w:r>
                </w:p>
                <w:p>
                  <w:pPr>
                    <w:pStyle w:val="BodyText"/>
                  </w:pPr>
                  <w:r>
                    <w:t xml:space="preserve">According to the DVA, if the court is satisfied that it is in the best interests of any child, it: (i) may refuse the abuser contact with such child; or (ii) order contact with such child on such conditions as it may consider appropriate.</w:t>
                  </w:r>
                  <w:r>
                    <w:rPr>
                      <w:color w:val="8DB3E2"/>
                      <w:vertAlign w:val="superscript"/>
                    </w:rPr>
                    <w:t xml:space="preserve">[189]</w:t>
                  </w:r>
                </w:p>
                <w:p>
                  <w:pPr>
                    <w:pStyle w:val="BodyText"/>
                  </w:pPr>
                  <w:r>
                    <w:rPr>
                      <w:b/>
                    </w:rPr>
                    <w:t xml:space="preserve">C</w:t>
                  </w:r>
                  <w:r>
                    <w:rPr>
                      <w:b/>
                    </w:rPr>
                    <w:t xml:space="preserve">onvention on the rights of the child in terms of UNICEF</w:t>
                  </w:r>
                </w:p>
                <w:p>
                  <w:pPr>
                    <w:pStyle w:val="BodyText"/>
                  </w:pPr>
                  <w:r>
                    <w:t xml:space="preserve">The Convention of the rights of the Child ("</w:t>
                  </w:r>
                  <w:r>
                    <w:rPr>
                      <w:b/>
                    </w:rPr>
                    <w:t xml:space="preserve">Convention</w:t>
                  </w:r>
                  <w:r>
                    <w:t xml:space="preserve">") to which South Africa is a party, further supports the provisions of the Children's Act and the DVA as set out above. The Convention provides that state parties are required to ensure that a child is not separated from his or her parents against his/her will, except when competent authorities determine, in accordance with applicable law and procedures, that such separation is necessary for the best interests of the child.</w:t>
                  </w:r>
                  <w:r>
                    <w:rPr>
                      <w:color w:val="8DB3E2"/>
                      <w:vertAlign w:val="superscript"/>
                    </w:rPr>
                    <w:t xml:space="preserve">[190]</w:t>
                  </w:r>
                  <w:r>
                    <w:rPr>
                      <w:vertAlign w:val="superscript"/>
                    </w:rPr>
                    <w:t xml:space="preserve"> </w:t>
                  </w:r>
                  <w:r>
                    <w:t xml:space="preserve">Such a determination may be necessary in a particular case such as one involving abuse or neglect of the child by the parents, or one where the parents are living separately and a decision must be made as to the child's place of residence.</w:t>
                  </w:r>
                  <w:r>
                    <w:rPr>
                      <w:color w:val="8DB3E2"/>
                      <w:vertAlign w:val="superscript"/>
                    </w:rPr>
                    <w:t xml:space="preserve">[191]</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6.5.2 Can the judge consider the testimonies of the other spouse and the children when determining custody?</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Although not specifically provided for in the DVA, the Children's Act provides that every child that is of such an age, maturity and stage of development so as to be able to participate in any matter concerning that child has the right to participate in an appropriate way, and the views expressed by the child must be given due consideration.</w:t>
                  </w:r>
                  <w:r>
                    <w:rPr>
                      <w:color w:val="8DB3E2"/>
                      <w:vertAlign w:val="superscript"/>
                    </w:rPr>
                    <w:t xml:space="preserve">[192]</w:t>
                  </w:r>
                </w:p>
                <w:p>
                  <w:pPr>
                    <w:pStyle w:val="BodyText"/>
                  </w:pPr>
                  <w:r>
                    <w:t xml:space="preserve">As mentioned above, the child's best interests are of paramount importance in all matters concerning the care, protection and well-being of a child. Some of the factors that the court will take into account when determining the best interests of a child are:</w:t>
                  </w:r>
                </w:p>
                <w:p>
                  <w:pPr>
                    <w:pStyle w:val="BodyText"/>
                  </w:pPr>
                  <w:pPr>
                    <w:pStyle w:val="ListParagraph"/>
                    <w:numPr>
                      <w:ilvl w:val="0"/>
                      <w:numId w:val="11"/>
                    </w:numPr>
                  </w:pPr>
                  <w:r>
                    <w:t xml:space="preserve">the need to protect the child from any physical or psychological harm that may be caused by:</w:t>
                  </w:r>
                </w:p>
                <w:p>
                  <w:pPr>
                    <w:pStyle w:val="BodyText"/>
                  </w:pPr>
                  <w:pPr>
                    <w:pStyle w:val="ListParagraph"/>
                    <w:numPr>
                      <w:ilvl w:val="0"/>
                      <w:numId w:val="12"/>
                    </w:numPr>
                  </w:pPr>
                  <w:r>
                    <w:t xml:space="preserve">subjecting the child to maltreatment, abuse, neglect, exploitation or degradation or exposing the child to violence or exploitation or other harmful behaviour; or</w:t>
                  </w:r>
                </w:p>
                <w:p>
                  <w:pPr>
                    <w:pStyle w:val="BodyText"/>
                  </w:pPr>
                  <w:pPr>
                    <w:pStyle w:val="ListParagraph"/>
                    <w:numPr>
                      <w:ilvl w:val="0"/>
                      <w:numId w:val="12"/>
                    </w:numPr>
                  </w:pPr>
                  <w:r>
                    <w:t xml:space="preserve">exposing the child to maltreatment, abuse, degradation, ill-treatment, violence or harmful behaviour towards another person; and</w:t>
                  </w:r>
                </w:p>
                <w:p>
                  <w:pPr>
                    <w:pStyle w:val="BodyText"/>
                  </w:pPr>
                  <w:pPr>
                    <w:pStyle w:val="ListParagraph"/>
                    <w:numPr>
                      <w:ilvl w:val="0"/>
                      <w:numId w:val="13"/>
                    </w:numPr>
                  </w:pPr>
                  <w:r>
                    <w:t xml:space="preserve">any family violence involving the child or a family member of the child.</w:t>
                  </w:r>
                  <w:r>
                    <w:rPr>
                      <w:color w:val="8DB3E2"/>
                      <w:vertAlign w:val="superscript"/>
                    </w:rPr>
                    <w:t xml:space="preserve">[193]</w:t>
                  </w:r>
                </w:p>
                <w:p>
                  <w:pPr>
                    <w:pStyle w:val="BodyText"/>
                  </w:pPr>
                  <w:r>
                    <w:br/>
                  </w:r>
                  <w:r>
                    <w:br/>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6.6 Housing rights of domestic violence victims</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pPr>
                    <w:pBdr>
                      <w:top w:val="single" w:sz="4"/>
                    </w:pBdr>
                  </w:pPr>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6.6.1 Does the law include any barriers to prevent landlords from forcing a tenant to move out because they are victims of domestic violence?</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South Africa does not provide a barrier to prevent landlords from forcing a tenant to move out because they are victims of domestic violence.</w:t>
                  </w:r>
                </w:p>
                <w:p>
                  <w:pPr>
                    <w:pStyle w:val="BodyText"/>
                  </w:pPr>
                  <w:r>
                    <w:t xml:space="preserve">However, the Constitution provides that "everybody has the right to adequate housing."</w:t>
                  </w:r>
                  <w:r>
                    <w:rPr>
                      <w:color w:val="8DB3E2"/>
                      <w:vertAlign w:val="superscript"/>
                    </w:rPr>
                    <w:t xml:space="preserve">[194]</w:t>
                  </w:r>
                  <w:r>
                    <w:rPr>
                      <w:vertAlign w:val="superscript"/>
                    </w:rPr>
                    <w:t xml:space="preserve"> </w:t>
                  </w:r>
                  <w:r>
                    <w:t xml:space="preserve">Further, the Constitution provides that no person may be evicted from their house without a court order.</w:t>
                  </w:r>
                  <w:r>
                    <w:rPr>
                      <w:color w:val="8DB3E2"/>
                      <w:vertAlign w:val="superscript"/>
                    </w:rPr>
                    <w:t xml:space="preserve">[195]</w:t>
                  </w:r>
                  <w:r>
                    <w:rPr>
                      <w:vertAlign w:val="superscript"/>
                    </w:rPr>
                    <w:t xml:space="preserve"> </w:t>
                  </w:r>
                  <w:r>
                    <w:t xml:space="preserve">The Prevention of Illegal Evictions from and Unlawful Occupation of Land Act</w:t>
                  </w:r>
                  <w:r>
                    <w:rPr>
                      <w:color w:val="8DB3E2"/>
                      <w:vertAlign w:val="superscript"/>
                    </w:rPr>
                    <w:t xml:space="preserve">[196]</w:t>
                  </w:r>
                  <w:r>
                    <w:t xml:space="preserve"> ("</w:t>
                  </w:r>
                  <w:r>
                    <w:rPr>
                      <w:b/>
                    </w:rPr>
                    <w:t xml:space="preserve">PIE Act</w:t>
                  </w:r>
                  <w:r>
                    <w:t xml:space="preserve">") sets out the procedure that a landowner must follow before evicting a tenant. Under the PIE Act, a landowner must:</w:t>
                  </w:r>
                </w:p>
                <w:p>
                  <w:pPr>
                    <w:pStyle w:val="BodyText"/>
                  </w:pPr>
                  <w:pPr>
                    <w:pStyle w:val="ListParagraph"/>
                    <w:numPr>
                      <w:ilvl w:val="0"/>
                      <w:numId w:val="10"/>
                    </w:numPr>
                  </w:pPr>
                  <w:r>
                    <w:t xml:space="preserve">apply for a service directive from a magistrate or high court. In this service directive, regard must be given to the circumstances of the tenant. This includes considering (1) the number of occupants of the house; (2) if any elderly persons live on the property; (3) if the household is headed by a woman or child; and (4) any other relevant circumstances.</w:t>
                  </w:r>
                  <w:r>
                    <w:rPr>
                      <w:color w:val="8DB3E2"/>
                      <w:vertAlign w:val="superscript"/>
                    </w:rPr>
                    <w:t xml:space="preserve">[197]</w:t>
                  </w:r>
                  <w:r>
                    <w:t xml:space="preserve"> If the tenant has lived on the property for more than six months, the court must also consider whether other land may be available or can reasonably be made available by a municipality, another organ of state or another landowner for the relocation of the tenant.</w:t>
                  </w:r>
                  <w:r>
                    <w:rPr>
                      <w:color w:val="8DB3E2"/>
                      <w:vertAlign w:val="superscript"/>
                    </w:rPr>
                    <w:t xml:space="preserve">[198]</w:t>
                  </w:r>
                </w:p>
                <w:p>
                  <w:pPr>
                    <w:pStyle w:val="BodyText"/>
                  </w:pPr>
                  <w:pPr>
                    <w:pStyle w:val="ListParagraph"/>
                    <w:numPr>
                      <w:ilvl w:val="0"/>
                      <w:numId w:val="10"/>
                    </w:numPr>
                  </w:pPr>
                  <w:r>
                    <w:t xml:space="preserve">must serve the service directive on the tenant and the local municipality if the court awards such to the landowner. The victim will then be afforded the opportunity to state their case in court and raise any defense they may have against eviction.</w:t>
                  </w:r>
                  <w:r>
                    <w:rPr>
                      <w:color w:val="8DB3E2"/>
                      <w:vertAlign w:val="superscript"/>
                    </w:rPr>
                    <w:t xml:space="preserve">[199]</w:t>
                  </w:r>
                  <w:r>
                    <w:t xml:space="preserve"> This may include that their occupancy is not unlawful if the landowner has failed to cancel the lease agreement. The presiding officer will then determine whether the victim should be evicted. If the eviction order is granted, the court will provide a date on which the victim must vacate the property.</w:t>
                  </w:r>
                  <w:r>
                    <w:rPr>
                      <w:color w:val="8DB3E2"/>
                      <w:vertAlign w:val="superscript"/>
                    </w:rPr>
                    <w:t xml:space="preserve">[200]</w:t>
                  </w:r>
                </w:p>
                <w:p>
                  <w:pPr>
                    <w:pStyle w:val="BodyText"/>
                  </w:pPr>
                  <w:r>
                    <w:t xml:space="preserve">In this regard, the Maputo Protocol also does not create barriers preventing landlords from forcing a tenant to move out because they are victims of domestic violence. However, the Maputo Protocol does provide that state parties must take appropriate and effective measures to adopt such other legislative, administrative, social and economic measures as may be necessary to ensure the prevention, punishment and eradication of all forms of violence against women.</w:t>
                  </w:r>
                  <w:r>
                    <w:rPr>
                      <w:color w:val="8DB3E2"/>
                      <w:vertAlign w:val="superscript"/>
                    </w:rPr>
                    <w:t xml:space="preserve">[201]</w:t>
                  </w:r>
                </w:p>
                <w:p>
                  <w:pPr>
                    <w:pStyle w:val="BodyText"/>
                  </w:pPr>
                  <w:r>
                    <w:t xml:space="preserve">From the above positions, there is adequate authority provided to the South African legislator to introduce legislation providing protection to victims of domestic violence in relation to housing rights. While the DVA provides for assisting a victim of domestic violence in finding suitable shelter, it in no way extends to preventing landlords from evicting tenants who are victims of domestic violence.</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6.6.2 Does the law allow a tenant to terminate his/her lease early due to domestic violence?</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Legislation in South Africa does not provide for a tenant's right to terminate his/her lease agreement early due to domestic violence. In most cases, the cancellation of a lease will be governed by the lease agreement and it is customary for lease agreements to detail the circumstances under which a tenant is entitled to cancel the lease.</w:t>
                  </w:r>
                </w:p>
                <w:p>
                  <w:pPr>
                    <w:pStyle w:val="BodyText"/>
                  </w:pPr>
                  <w:r>
                    <w:t xml:space="preserve">If termination is not dealt with in the lease agreement, the parties may agree to an early termination of the lease agreement. Further, the Consumer Protection Act No. 68 of 2008 ("</w:t>
                  </w:r>
                  <w:r>
                    <w:rPr>
                      <w:b/>
                    </w:rPr>
                    <w:t xml:space="preserve">Consumer Protection Act</w:t>
                  </w:r>
                  <w:r>
                    <w:t xml:space="preserve">") provides that a tenant may legally cancel a lease after providing the landlord with 20 business days' notice.</w:t>
                  </w:r>
                  <w:r>
                    <w:rPr>
                      <w:color w:val="8DB3E2"/>
                      <w:vertAlign w:val="superscript"/>
                    </w:rPr>
                    <w:t xml:space="preserve">[202]</w:t>
                  </w:r>
                  <w:r>
                    <w:rPr>
                      <w:color w:val="8DB3E2"/>
                      <w:vertAlign w:val="superscript"/>
                    </w:rPr>
                    <w:t xml:space="preserve"> </w:t>
                  </w:r>
                  <w:r>
                    <w:t xml:space="preserve">However, the landlord may be entitled to a reasonable cancellation penalty and the tenant will remain liable for any amounts owed to the landlord.</w:t>
                  </w:r>
                  <w:r>
                    <w:rPr>
                      <w:color w:val="8DB3E2"/>
                      <w:vertAlign w:val="superscript"/>
                    </w:rPr>
                    <w:t xml:space="preserve">[203]</w:t>
                  </w:r>
                  <w:r>
                    <w:t xml:space="preserve"> Should the tenant have a month-to-month lease agreement with the landlord, it is common practice to provide the landlord with a calendar months' notice to terminate the lease.</w:t>
                  </w:r>
                </w:p>
                <w:p>
                  <w:pPr>
                    <w:pStyle w:val="BodyText"/>
                  </w:pPr>
                  <w:r>
                    <w:t xml:space="preserve"> Regional and International Conventions such as the Maputo Protocol and CEDAW do not expand on the concept of a tenant's right to terminate his/her lease agreement early due to domestic violence. However, the Maputo Protocol provides for wide provisions granting state parties the power to develop and adopt legislative, administrative, social and economic measures as may be necessary to ensure the prevention, punishment and eradication of all forms of violence against women.</w:t>
                  </w:r>
                  <w:r>
                    <w:rPr>
                      <w:color w:val="8DB3E2"/>
                      <w:vertAlign w:val="superscript"/>
                    </w:rPr>
                    <w:t xml:space="preserve">[204]</w:t>
                  </w:r>
                  <w:r>
                    <w:br/>
                  </w:r>
                  <w:r>
                    <w:br/>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6.6.3 Can an order exclude the abuser from the residence?</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Yes, a protection order can exclude the abuser from the residence. The DVA provides that a court order may prevent the abuser who ordinarily lives or lived in a shared residence with the victim from entering or remaining in the shared residence or a specified part of the shared residence.</w:t>
                  </w:r>
                  <w:r>
                    <w:rPr>
                      <w:color w:val="8DB3E2"/>
                      <w:vertAlign w:val="superscript"/>
                    </w:rPr>
                    <w:t xml:space="preserve">[205]</w:t>
                  </w:r>
                  <w:r>
                    <w:rPr>
                      <w:vertAlign w:val="superscript"/>
                    </w:rPr>
                    <w:t xml:space="preserve"> </w:t>
                  </w:r>
                  <w:r>
                    <w:t xml:space="preserve">The court may impose this prohibition only if it appears to be in the best interests of the victim.</w:t>
                  </w:r>
                  <w:r>
                    <w:rPr>
                      <w:color w:val="8DB3E2"/>
                      <w:vertAlign w:val="superscript"/>
                    </w:rPr>
                    <w:t xml:space="preserve">[206]</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6.6.4 Can abusers be forbidden by court orders to alienate or mortgage the property in his/her name if it is the family domicile?</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Under the terms of the DVA, the court may impose any additional conditions that it deems reasonably necessary to protect and provide for the safety, health or well-being of the victim.</w:t>
                  </w:r>
                  <w:r>
                    <w:rPr>
                      <w:color w:val="8DB3E2"/>
                      <w:vertAlign w:val="superscript"/>
                    </w:rPr>
                    <w:t xml:space="preserve">[207]</w:t>
                  </w:r>
                  <w:r>
                    <w:rPr>
                      <w:vertAlign w:val="superscript"/>
                    </w:rPr>
                    <w:t xml:space="preserve"> </w:t>
                  </w:r>
                  <w:r>
                    <w:t xml:space="preserve">Please refer to our earlier responses.</w:t>
                  </w:r>
                  <w:r>
                    <w:br/>
                  </w:r>
                  <w:r>
                    <w:br/>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2.7 Analysis</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This memorandum has explored the various applicable laws in South Africa as they relate to domestic violence in South Africa. Based on our analysis, it is evident that South Africa has adopted legislation to give effect to the various rights enshrined in the regional and international normative frameworks, as they relate to privacy, safety and integrity of the person in the context of domestic violence, including the International Covenant on Civil and Political Rights, 1966; the International Covenant on Economic, Social and Cultural Rights, 1966; the Convention on the Elimination of all Forms of Discrimination against Women, 1979; the African Charter on Human and People's Rights, 1981 (African Charter); the Maputo Protocol; and Recommendation 35.</w:t>
                  </w:r>
                </w:p>
                <w:p>
                  <w:pPr>
                    <w:pStyle w:val="BodyText"/>
                  </w:pPr>
                  <w:r>
                    <w:t xml:space="preserve">The DVA, implemented in 1998, goes a long way in protecting the rights of victims of domestic violence and is a positive step taken by South Africa in fulfilling both its international and regional obligations to protect women and girls' rights, particularly with respect to domestic violence. The Criminal Law (Sexual Offences and Related Matters) Amendment Act, which also gives expression to the constitutional rights to equality, human dignity, life and freedom and security of the person, further strengthens South Africa's commitment to its international and regional obligations to protect victims of domestic violence.</w:t>
                  </w:r>
                </w:p>
                <w:p>
                  <w:pPr>
                    <w:pStyle w:val="BodyText"/>
                  </w:pPr>
                  <w:r>
                    <w:t xml:space="preserve">It is commendable that the DVA adopted a wide approach in determining the range of intimate and family relationships that would fall within the ambit of the DVA, by not limiting its reach to traditional ideas of heterosexual marital relationships. Further, the DVA recognizes that there are circumstances where emergency protective measures are necessary and imposes various duties on the South African Police Service to protect victims of domestic violence and inform them of their rights.</w:t>
                  </w:r>
                </w:p>
                <w:p>
                  <w:pPr>
                    <w:pStyle w:val="BodyText"/>
                  </w:pPr>
                  <w:r>
                    <w:t xml:space="preserve">However, despite the positive steps South Africa has taken in recognizing the prevalence of domestic violence in South African communities and implementing legislation to guard against and protect victims of domestic violence, the incidence of domestic violence in South Africa still remain unacceptably high. It has been estimated that 21% of women over the age of 18 have experienced physical violence by a partner, while 6% of women have experienced sexual violence by a partner.</w:t>
                  </w:r>
                  <w:r>
                    <w:rPr>
                      <w:color w:val="8DB3E2"/>
                      <w:vertAlign w:val="superscript"/>
                    </w:rPr>
                    <w:t xml:space="preserve">[208]</w:t>
                  </w:r>
                  <w:r>
                    <w:t xml:space="preserve"> These numbers are likely even higher due to the high number of domestic violence cases that go unreported.</w:t>
                  </w:r>
                </w:p>
                <w:p>
                  <w:pPr>
                    <w:pStyle w:val="BodyText"/>
                  </w:pPr>
                  <w:r>
                    <w:t xml:space="preserve">During a process of public hearings held in respect of the DVA in 2009 by the Portfolio and Select Committees on Women, Children and Persons with Disabilities, a number of concerns were raised regarding the implementation of the DVA and its efficacy. These concerns included, among others: (i) noncompliance with the provisions of the DVA; (ii) negative attitudes toward victims by the police and court officials, including failure by the police to attend domestic violence call outs and a failure to inform victims about their rights; (iii) undue delays in processes as a result of the unavailability of magistrates and court officials, especially after hours in emergency circumstances; and (iv) the lack of access to courts and the police.</w:t>
                  </w:r>
                  <w:r>
                    <w:rPr>
                      <w:color w:val="8DB3E2"/>
                      <w:vertAlign w:val="superscript"/>
                    </w:rPr>
                    <w:t xml:space="preserve">[209]</w:t>
                  </w:r>
                </w:p>
                <w:p>
                  <w:pPr>
                    <w:pStyle w:val="BodyText"/>
                  </w:pPr>
                  <w:r>
                    <w:t xml:space="preserve">The above clearly indicates that the high levels and prevalence of domestic violence in South Africa are not due to a lack of legislative reform but are rather a result of a failure of proper implementation. Until the implementation of domestic violence legislation is improved, it is unlikely that the prevalence of domestic violence will be reduced in South Africa. The requirement for African States to adopt the legislative measures necessary to ensure the prevention and eradication of violence against women</w:t>
                  </w:r>
                  <w:r>
                    <w:rPr>
                      <w:color w:val="8DB3E2"/>
                      <w:vertAlign w:val="superscript"/>
                    </w:rPr>
                    <w:t xml:space="preserve">[210]</w:t>
                  </w:r>
                  <w:r>
                    <w:rPr>
                      <w:vertAlign w:val="superscript"/>
                    </w:rPr>
                    <w:t xml:space="preserve"> </w:t>
                  </w:r>
                  <w:r>
                    <w:t xml:space="preserve">is also only partially addressed by the DVA insofar as the DVA is responsive to domestic violence as opposed to preventative. While protection orders may prevent further violence, the DVA alone does not adequately serve the need to eradicate and prevent violence against women from occurring in South Africa.</w:t>
                  </w:r>
                </w:p>
                <w:p>
                  <w:pPr>
                    <w:pStyle w:val="BodyText"/>
                  </w:pPr>
                  <w:r>
                    <w:t xml:space="preserve">As it relates to remedies available at the international and regional level for victims of domestic violence, these are limited. Whilst international and regional human rights instruments provide a framework for the protection and recognition of various human rights, including the rights of women and girls, the enforcement of such rights at both the regional and international level is not necessarily appropriate for victims of domestic violence seeking protective orders against alleged perpetrators of domestic violence. Typically, at both the international and regional level, the respondent is a state and not an individual perpetrator.</w:t>
                  </w:r>
                  <w:r>
                    <w:rPr>
                      <w:color w:val="8DB3E2"/>
                      <w:vertAlign w:val="superscript"/>
                    </w:rPr>
                    <w:t xml:space="preserve">[211]</w:t>
                  </w:r>
                  <w:r>
                    <w:t xml:space="preserve"> As such, the victim will have to attribute responsibility on the state before being able to access recourse for domestic violence at either the regional or the international level.</w:t>
                  </w:r>
                </w:p>
                <w:p>
                  <w:pPr>
                    <w:pStyle w:val="BodyText"/>
                  </w:pPr>
                  <w:r>
                    <w:t xml:space="preserve">Furthermore, before being able to access international and regional complaints procedures, the victim usually has to show that she has exhausted local remedies and such local remedies were inadequate.</w:t>
                  </w:r>
                  <w:r>
                    <w:rPr>
                      <w:color w:val="8DB3E2"/>
                      <w:vertAlign w:val="superscript"/>
                    </w:rPr>
                    <w:t xml:space="preserve">[212]</w:t>
                  </w:r>
                  <w:r>
                    <w:rPr>
                      <w:vertAlign w:val="superscript"/>
                    </w:rPr>
                    <w:t xml:space="preserve"> </w:t>
                  </w:r>
                  <w:r>
                    <w:t xml:space="preserve">Accordingly, where victims of domestic violence require swift action to guard against further and continued domestic violence, regional and international remedies are likely inappropriate.</w:t>
                  </w:r>
                  <w:r>
                    <w:br/>
                  </w:r>
                  <w:r>
                    <w:br/>
                  </w:r>
                </w:p>
              </w:sdtContent>
            </w:sdt>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br/>
                  </w:r>
                  <w:r>
                    <w:br/>
                  </w:r>
                </w:p>
              </w:sdtContent>
            </w:sdt>
          </w:sdtContent>
        </w:sdt>
      </w:sdtContent>
    </w:sdt>
    <w:sdt>
      <w:sdtPr>
        <w:rPr>
          <w:rFonts w:eastAsiaTheme="minorHAnsi" w:cstheme="minorBidi"/>
          <w:b w:val="0"/>
          <w:color w:val="auto"/>
          <w:sz w:val="20"/>
          <w:szCs w:val="20"/>
        </w:rPr>
        <w:id w:val="-2026248521"/>
        <w:placeholder>
          <w:docPart w:val="3816F6170ABC43BCBDB278015F7ED7B2"/>
        </w:placeholder>
        <w15:repeatingSectionItem/>
      </w:sdtPr>
      <w:sdtEndPr>
        <w:rPr>
          <w:szCs w:val="22"/>
        </w:rPr>
      </w:sdtEndPr>
      <w:sdtContent>
        <w:p w:rsidRPr="008020A8" w:rsidR="002537D8" w:rsidP="002537D8" w:rsidRDefault="002537D8" w14:paraId="779BEB21" w14:textId="77777777">
          <w:pPr>
            <w:pStyle w:val="Heading1"/>
          </w:pPr>
          <w:r>
            <w:t>7. Endnotes</w:t>
          </w:r>
        </w:p>
        <w:bookmarkStart w:name="_Toc42606705" w:displacedByCustomXml="next" w:id="1"/>
        <w:sdt>
          <w:sdtPr>
            <w:rPr>
              <w:rFonts w:eastAsiaTheme="minorHAnsi" w:cstheme="minorBidi"/>
              <w:color w:val="auto"/>
              <w:sz w:val="20"/>
              <w:szCs w:val="22"/>
            </w:rPr>
            <w:id w:val="1334570859"/>
            <w:placeholder>
              <w:docPart w:val="3816F6170ABC43BCBDB278015F7ED7B2"/>
            </w:placeholder>
            <w15:repeatingSectionItem/>
          </w:sdtPr>
          <w:sdtEndPr/>
          <w:sdtContent>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rPr>
                      <w:color w:val="000000"/>
                      <w:vertAlign w:val="superscript"/>
                    </w:rPr>
                    <w:t xml:space="preserve">[1]</w:t>
                  </w:r>
                  <w:r>
                    <w:t xml:space="preserve">    Section 12(1) of the Constitution, 1996.</w:t>
                  </w:r>
                </w:p>
                <w:p>
                  <w:pPr>
                    <w:pStyle w:val="BodyText"/>
                  </w:pPr>
                  <w:r>
                    <w:rPr>
                      <w:color w:val="000000"/>
                      <w:vertAlign w:val="superscript"/>
                    </w:rPr>
                    <w:t xml:space="preserve">[2]</w:t>
                  </w:r>
                  <w:r>
                    <w:t xml:space="preserve">    The Firearms Control Act seeks to restrict those individuals with a history of domestic violence from owning firearms, given their role in domestic violence and femicide.</w:t>
                  </w:r>
                </w:p>
                <w:p>
                  <w:pPr>
                    <w:pStyle w:val="BodyText"/>
                  </w:pPr>
                  <w:r>
                    <w:rPr>
                      <w:color w:val="000000"/>
                      <w:vertAlign w:val="superscript"/>
                    </w:rPr>
                    <w:t xml:space="preserve">[3]</w:t>
                  </w:r>
                  <w:r>
                    <w:t xml:space="preserve">    Section 1 of the DVA.</w:t>
                  </w:r>
                </w:p>
                <w:p>
                  <w:pPr>
                    <w:pStyle w:val="BodyText"/>
                  </w:pPr>
                  <w:r>
                    <w:rPr>
                      <w:color w:val="000000"/>
                      <w:vertAlign w:val="superscript"/>
                    </w:rPr>
                    <w:t xml:space="preserve">[4]</w:t>
                  </w:r>
                  <w:r>
                    <w:t xml:space="preserve">    Section 10 of the Constitution.</w:t>
                  </w:r>
                </w:p>
                <w:p>
                  <w:pPr>
                    <w:pStyle w:val="BodyText"/>
                  </w:pPr>
                  <w:r>
                    <w:rPr>
                      <w:color w:val="000000"/>
                      <w:vertAlign w:val="superscript"/>
                    </w:rPr>
                    <w:t xml:space="preserve">[5]</w:t>
                  </w:r>
                  <w:r>
                    <w:t xml:space="preserve">    Section 11 of the Constitution.</w:t>
                  </w:r>
                </w:p>
                <w:p>
                  <w:pPr>
                    <w:pStyle w:val="BodyText"/>
                  </w:pPr>
                  <w:r>
                    <w:rPr>
                      <w:color w:val="000000"/>
                      <w:vertAlign w:val="superscript"/>
                    </w:rPr>
                    <w:t xml:space="preserve">[6]</w:t>
                  </w:r>
                  <w:r>
                    <w:t xml:space="preserve">    Section 12(1) of the Constitution.</w:t>
                  </w:r>
                </w:p>
                <w:p>
                  <w:pPr>
                    <w:pStyle w:val="BodyText"/>
                  </w:pPr>
                  <w:r>
                    <w:rPr>
                      <w:color w:val="000000"/>
                      <w:vertAlign w:val="superscript"/>
                    </w:rPr>
                    <w:t xml:space="preserve">[7]</w:t>
                  </w:r>
                  <w:r>
                    <w:t xml:space="preserve">    A list of countries that have signed the Maputo Protocol can be accessed </w:t>
                  </w:r>
                  <w:hyperlink w:history="true" r:id="R15572d53c3eb4d58">
                    <w:r>
                      <w:rPr>
                        <w:rStyle w:val="Hyperlink"/>
                        <w:color w:val="000000"/>
                      </w:rPr>
                      <w:t xml:space="preserve">here</w:t>
                    </w:r>
                  </w:hyperlink>
                  <w:r>
                    <w:t xml:space="preserve">.</w:t>
                  </w:r>
                </w:p>
                <w:p>
                  <w:pPr>
                    <w:pStyle w:val="BodyText"/>
                  </w:pPr>
                  <w:r>
                    <w:rPr>
                      <w:color w:val="000000"/>
                      <w:vertAlign w:val="superscript"/>
                    </w:rPr>
                    <w:t xml:space="preserve">[8]</w:t>
                  </w:r>
                  <w:r>
                    <w:t xml:space="preserve">    A list of countries that have signed the Maputo Protocol can be accessed </w:t>
                  </w:r>
                  <w:hyperlink w:history="true" r:id="R5c600d624bb647cc">
                    <w:r>
                      <w:rPr>
                        <w:rStyle w:val="Hyperlink"/>
                        <w:color w:val="000000"/>
                      </w:rPr>
                      <w:t xml:space="preserve">here</w:t>
                    </w:r>
                  </w:hyperlink>
                  <w:r>
                    <w:t xml:space="preserve">.</w:t>
                  </w:r>
                </w:p>
                <w:p>
                  <w:pPr>
                    <w:pStyle w:val="BodyText"/>
                  </w:pPr>
                  <w:r>
                    <w:rPr>
                      <w:color w:val="000000"/>
                      <w:vertAlign w:val="superscript"/>
                    </w:rPr>
                    <w:t xml:space="preserve">[9]</w:t>
                  </w:r>
                  <w:r>
                    <w:rPr>
                      <w:vertAlign w:val="superscript"/>
                    </w:rPr>
                    <w:t xml:space="preserve"> </w:t>
                  </w:r>
                  <w:r>
                    <w:t xml:space="preserve">   Sections 9 and 12 of the Constitution.</w:t>
                  </w:r>
                </w:p>
                <w:p>
                  <w:pPr>
                    <w:pStyle w:val="BodyText"/>
                  </w:pPr>
                  <w:r>
                    <w:rPr>
                      <w:color w:val="000000"/>
                      <w:vertAlign w:val="superscript"/>
                    </w:rPr>
                    <w:t xml:space="preserve">[10]</w:t>
                  </w:r>
                  <w:r>
                    <w:rPr>
                      <w:i/>
                    </w:rPr>
                    <w:t xml:space="preserve">    Tshabalala v S and a related matter</w:t>
                  </w:r>
                  <w:r>
                    <w:t xml:space="preserve"> (Commission for Equality and another as amici curiae) 2020 (3) BCLR 307 (CC) at para 98 and 99.</w:t>
                  </w:r>
                </w:p>
                <w:p>
                  <w:pPr>
                    <w:pStyle w:val="BodyText"/>
                  </w:pPr>
                  <w:r>
                    <w:rPr>
                      <w:color w:val="000000"/>
                      <w:vertAlign w:val="superscript"/>
                    </w:rPr>
                    <w:t xml:space="preserve">[11]</w:t>
                  </w:r>
                  <w:r>
                    <w:t xml:space="preserve">    Section 56 of the Criminal Law (Sexual Offences and Related Matters) Amendment Act.</w:t>
                  </w:r>
                </w:p>
                <w:p>
                  <w:pPr>
                    <w:pStyle w:val="BodyText"/>
                  </w:pPr>
                  <w:r>
                    <w:rPr>
                      <w:color w:val="000000"/>
                      <w:vertAlign w:val="superscript"/>
                    </w:rPr>
                    <w:t xml:space="preserve">[12]</w:t>
                  </w:r>
                  <w:r>
                    <w:t xml:space="preserve">    Section 1 of the DVA.</w:t>
                  </w:r>
                </w:p>
                <w:p>
                  <w:pPr>
                    <w:pStyle w:val="BodyText"/>
                  </w:pPr>
                  <w:r>
                    <w:rPr>
                      <w:color w:val="000000"/>
                      <w:vertAlign w:val="superscript"/>
                    </w:rPr>
                    <w:t xml:space="preserve">[13]</w:t>
                  </w:r>
                  <w:r>
                    <w:t xml:space="preserve">    Section 1 of the DVA.</w:t>
                  </w:r>
                </w:p>
                <w:p>
                  <w:pPr>
                    <w:pStyle w:val="BodyText"/>
                  </w:pPr>
                  <w:r>
                    <w:rPr>
                      <w:color w:val="000000"/>
                      <w:vertAlign w:val="superscript"/>
                    </w:rPr>
                    <w:t xml:space="preserve">[14]</w:t>
                  </w:r>
                  <w:r>
                    <w:t xml:space="preserve">    Section 1 of the DVA.</w:t>
                  </w:r>
                </w:p>
                <w:p>
                  <w:pPr>
                    <w:pStyle w:val="BodyText"/>
                  </w:pPr>
                  <w:r>
                    <w:rPr>
                      <w:color w:val="000000"/>
                      <w:vertAlign w:val="superscript"/>
                    </w:rPr>
                    <w:t xml:space="preserve">[15]</w:t>
                  </w:r>
                  <w:r>
                    <w:t xml:space="preserve">    Throughout this memorandum the terms "victim" and "complainant" will be used interchangeably, as necessitated by context.</w:t>
                  </w:r>
                </w:p>
                <w:p>
                  <w:pPr>
                    <w:pStyle w:val="BodyText"/>
                  </w:pPr>
                  <w:r>
                    <w:rPr>
                      <w:color w:val="000000"/>
                      <w:vertAlign w:val="superscript"/>
                    </w:rPr>
                    <w:t xml:space="preserve">[16]</w:t>
                  </w:r>
                  <w:r>
                    <w:t xml:space="preserve">    Throughout this memorandum the terms "abuser" and "respondent" will be used interchangeably, as necessitated by context.</w:t>
                  </w:r>
                </w:p>
                <w:p>
                  <w:pPr>
                    <w:pStyle w:val="BodyText"/>
                  </w:pPr>
                  <w:r>
                    <w:rPr>
                      <w:color w:val="000000"/>
                      <w:vertAlign w:val="superscript"/>
                    </w:rPr>
                    <w:t xml:space="preserve">[17]</w:t>
                  </w:r>
                  <w:r>
                    <w:t xml:space="preserve">    Section 1 of the DVA.</w:t>
                  </w:r>
                </w:p>
                <w:p>
                  <w:pPr>
                    <w:pStyle w:val="BodyText"/>
                  </w:pPr>
                  <w:r>
                    <w:rPr>
                      <w:color w:val="000000"/>
                      <w:vertAlign w:val="superscript"/>
                    </w:rPr>
                    <w:t xml:space="preserve">[18]</w:t>
                  </w:r>
                  <w:r>
                    <w:t xml:space="preserve">    Refer to </w:t>
                  </w:r>
                  <w:hyperlink w:history="true" r:id="R56c7808cd20a4ba1">
                    <w:r>
                      <w:rPr>
                        <w:rStyle w:val="Hyperlink"/>
                        <w:color w:val="000000"/>
                      </w:rPr>
                      <w:t xml:space="preserve">https://www.saps.gov.za/services/protection_order.php</w:t>
                    </w:r>
                  </w:hyperlink>
                  <w:r>
                    <w:t xml:space="preserve">.</w:t>
                  </w:r>
                </w:p>
                <w:p>
                  <w:pPr>
                    <w:pStyle w:val="BodyText"/>
                  </w:pPr>
                  <w:r>
                    <w:rPr>
                      <w:color w:val="000000"/>
                      <w:vertAlign w:val="superscript"/>
                    </w:rPr>
                    <w:t xml:space="preserve">[19]</w:t>
                  </w:r>
                  <w:r>
                    <w:t xml:space="preserve">    Blue Chip 2 (Pty) Limited trading as Blue Chip 49 v Ryneveldt and others (National Credit Regulator as amicus curiae) [2016] JOL 36049 (SCA).</w:t>
                  </w:r>
                </w:p>
                <w:p>
                  <w:pPr>
                    <w:pStyle w:val="BodyText"/>
                  </w:pPr>
                  <w:r>
                    <w:rPr>
                      <w:color w:val="000000"/>
                      <w:vertAlign w:val="superscript"/>
                    </w:rPr>
                    <w:t xml:space="preserve">[20]</w:t>
                  </w:r>
                  <w:r>
                    <w:t xml:space="preserve">    See the Prevention of Family Violence Act, 1993 under which the martial rape exemption was abolished.</w:t>
                  </w:r>
                </w:p>
                <w:p>
                  <w:pPr>
                    <w:pStyle w:val="BodyText"/>
                  </w:pPr>
                  <w:r>
                    <w:rPr>
                      <w:color w:val="000000"/>
                      <w:vertAlign w:val="superscript"/>
                    </w:rPr>
                    <w:t xml:space="preserve">[21]</w:t>
                  </w:r>
                  <w:r>
                    <w:t xml:space="preserve">    Section 1 of the DVA.</w:t>
                  </w:r>
                </w:p>
                <w:p>
                  <w:pPr>
                    <w:pStyle w:val="BodyText"/>
                  </w:pPr>
                  <w:r>
                    <w:rPr>
                      <w:color w:val="000000"/>
                      <w:vertAlign w:val="superscript"/>
                    </w:rPr>
                    <w:t xml:space="preserve">[22]</w:t>
                  </w:r>
                  <w:r>
                    <w:t xml:space="preserve">    Section 1 of the DVA.</w:t>
                  </w:r>
                </w:p>
                <w:p>
                  <w:pPr>
                    <w:pStyle w:val="BodyText"/>
                  </w:pPr>
                  <w:r>
                    <w:rPr>
                      <w:color w:val="000000"/>
                      <w:vertAlign w:val="superscript"/>
                    </w:rPr>
                    <w:t xml:space="preserve">[23]</w:t>
                  </w:r>
                  <w:r>
                    <w:t xml:space="preserve">    Section 1 of the DVA.</w:t>
                  </w:r>
                </w:p>
                <w:p>
                  <w:pPr>
                    <w:pStyle w:val="BodyText"/>
                  </w:pPr>
                  <w:r>
                    <w:rPr>
                      <w:color w:val="000000"/>
                      <w:vertAlign w:val="superscript"/>
                    </w:rPr>
                    <w:t xml:space="preserve">[24]</w:t>
                  </w:r>
                  <w:r>
                    <w:t xml:space="preserve">    Section 1 of the DVA.</w:t>
                  </w:r>
                </w:p>
                <w:p>
                  <w:pPr>
                    <w:pStyle w:val="BodyText"/>
                  </w:pPr>
                  <w:r>
                    <w:rPr>
                      <w:color w:val="000000"/>
                      <w:vertAlign w:val="superscript"/>
                    </w:rPr>
                    <w:t xml:space="preserve">[25]</w:t>
                  </w:r>
                  <w:r>
                    <w:t xml:space="preserve">    Section 1 of the DVA.</w:t>
                  </w:r>
                </w:p>
                <w:p>
                  <w:pPr>
                    <w:pStyle w:val="BodyText"/>
                  </w:pPr>
                  <w:r>
                    <w:rPr>
                      <w:color w:val="000000"/>
                      <w:vertAlign w:val="superscript"/>
                    </w:rPr>
                    <w:t xml:space="preserve">[26]</w:t>
                  </w:r>
                  <w:r>
                    <w:t xml:space="preserve">    Section 1 of the DVA.</w:t>
                  </w:r>
                </w:p>
                <w:p>
                  <w:pPr>
                    <w:pStyle w:val="BodyText"/>
                  </w:pPr>
                  <w:r>
                    <w:rPr>
                      <w:color w:val="000000"/>
                      <w:vertAlign w:val="superscript"/>
                    </w:rPr>
                    <w:t xml:space="preserve">[27]</w:t>
                  </w:r>
                  <w:r>
                    <w:t xml:space="preserve">    Section 1 of the DVA.</w:t>
                  </w:r>
                </w:p>
                <w:p>
                  <w:pPr>
                    <w:pStyle w:val="BodyText"/>
                  </w:pPr>
                  <w:r>
                    <w:rPr>
                      <w:color w:val="000000"/>
                      <w:vertAlign w:val="superscript"/>
                    </w:rPr>
                    <w:t xml:space="preserve">[28]</w:t>
                  </w:r>
                  <w:r>
                    <w:t xml:space="preserve">    Section 1 of the DVA.</w:t>
                  </w:r>
                </w:p>
                <w:p>
                  <w:pPr>
                    <w:pStyle w:val="BodyText"/>
                  </w:pPr>
                  <w:r>
                    <w:rPr>
                      <w:color w:val="000000"/>
                      <w:vertAlign w:val="superscript"/>
                    </w:rPr>
                    <w:t xml:space="preserve">[29]</w:t>
                  </w:r>
                  <w:r>
                    <w:t xml:space="preserve">    Section 1 of the DVA.</w:t>
                  </w:r>
                </w:p>
                <w:p>
                  <w:pPr>
                    <w:pStyle w:val="BodyText"/>
                  </w:pPr>
                  <w:r>
                    <w:rPr>
                      <w:color w:val="000000"/>
                      <w:vertAlign w:val="superscript"/>
                    </w:rPr>
                    <w:t xml:space="preserve">[30]</w:t>
                  </w:r>
                  <w:r>
                    <w:t xml:space="preserve">    Section 4(1) of the DVA.</w:t>
                  </w:r>
                </w:p>
                <w:p>
                  <w:pPr>
                    <w:pStyle w:val="BodyText"/>
                  </w:pPr>
                  <w:r>
                    <w:rPr>
                      <w:color w:val="000000"/>
                      <w:vertAlign w:val="superscript"/>
                    </w:rPr>
                    <w:t xml:space="preserve">[31]</w:t>
                  </w:r>
                  <w:r>
                    <w:t xml:space="preserve">    Under the terms of Section 1 of the DVA, a domestic relationship means "a relationship between a complainant and a respondent in any of the following ways: (a) they are or were married to each other, including marriage according to any law, custom or religion; (b) they (whether they are of the same or of the opposite sex) live or lived together in a relationship in the nature of marriage, although they are not, or were not, married to each other, or are not able to be married to each other; (c) they are the parents of a child or are persons who have or had parental responsibility for that child (whether or not at the same time); (d) they are family members related by consanguinity, affinity or adoption; (e) they are or were in an engagement, dating or customary relationship, including an actual or perceived romantic, intimate or sexual relationship of any duration; or (f) they share or recently shared the same residence."</w:t>
                  </w:r>
                </w:p>
                <w:p>
                  <w:pPr>
                    <w:pStyle w:val="BodyText"/>
                  </w:pPr>
                  <w:r>
                    <w:rPr>
                      <w:color w:val="000000"/>
                      <w:vertAlign w:val="superscript"/>
                    </w:rPr>
                    <w:t xml:space="preserve">[32]</w:t>
                  </w:r>
                  <w:r>
                    <w:t xml:space="preserve">    Section 1 of the DVA.</w:t>
                  </w:r>
                </w:p>
                <w:p>
                  <w:pPr>
                    <w:pStyle w:val="BodyText"/>
                  </w:pPr>
                  <w:r>
                    <w:rPr>
                      <w:color w:val="000000"/>
                      <w:vertAlign w:val="superscript"/>
                    </w:rPr>
                    <w:t xml:space="preserve">[33]</w:t>
                  </w:r>
                  <w:r>
                    <w:t xml:space="preserve">    Section 4(4) of the DVA.</w:t>
                  </w:r>
                </w:p>
                <w:p>
                  <w:pPr>
                    <w:pStyle w:val="BodyText"/>
                  </w:pPr>
                  <w:r>
                    <w:rPr>
                      <w:color w:val="000000"/>
                      <w:vertAlign w:val="superscript"/>
                    </w:rPr>
                    <w:t xml:space="preserve">[34]</w:t>
                  </w:r>
                  <w:r>
                    <w:t xml:space="preserve">    Section 4(3) of the DVA.</w:t>
                  </w:r>
                </w:p>
                <w:p>
                  <w:pPr>
                    <w:pStyle w:val="BodyText"/>
                  </w:pPr>
                  <w:r>
                    <w:rPr>
                      <w:color w:val="000000"/>
                      <w:vertAlign w:val="superscript"/>
                    </w:rPr>
                    <w:t xml:space="preserve">[35]</w:t>
                  </w:r>
                  <w:r>
                    <w:t xml:space="preserve">    Section 7(6) of the DVA.</w:t>
                  </w:r>
                </w:p>
                <w:p>
                  <w:pPr>
                    <w:pStyle w:val="BodyText"/>
                  </w:pPr>
                  <w:r>
                    <w:rPr>
                      <w:color w:val="000000"/>
                      <w:vertAlign w:val="superscript"/>
                    </w:rPr>
                    <w:t xml:space="preserve">[36]</w:t>
                  </w:r>
                  <w:r>
                    <w:t xml:space="preserve">    Section 7(3) and 7(4) of the DVA.</w:t>
                  </w:r>
                </w:p>
                <w:p>
                  <w:pPr>
                    <w:pStyle w:val="BodyText"/>
                  </w:pPr>
                  <w:r>
                    <w:rPr>
                      <w:color w:val="000000"/>
                      <w:vertAlign w:val="superscript"/>
                    </w:rPr>
                    <w:t xml:space="preserve">[37]</w:t>
                  </w:r>
                  <w:r>
                    <w:t xml:space="preserve">    Section 7(7)(b) of the DVA.</w:t>
                  </w:r>
                </w:p>
                <w:p>
                  <w:pPr>
                    <w:pStyle w:val="BodyText"/>
                  </w:pPr>
                  <w:r>
                    <w:rPr>
                      <w:color w:val="000000"/>
                      <w:vertAlign w:val="superscript"/>
                    </w:rPr>
                    <w:t xml:space="preserve">[38]</w:t>
                  </w:r>
                  <w:r>
                    <w:t xml:space="preserve">    Section 7(7)(a) of the DVA.</w:t>
                  </w:r>
                </w:p>
                <w:p>
                  <w:pPr>
                    <w:pStyle w:val="BodyText"/>
                  </w:pPr>
                  <w:r>
                    <w:rPr>
                      <w:color w:val="000000"/>
                      <w:vertAlign w:val="superscript"/>
                    </w:rPr>
                    <w:t xml:space="preserve">[39]</w:t>
                  </w:r>
                  <w:r>
                    <w:t xml:space="preserve">    Section 7(1) of the DVA.</w:t>
                  </w:r>
                </w:p>
                <w:p>
                  <w:pPr>
                    <w:pStyle w:val="BodyText"/>
                  </w:pPr>
                  <w:r>
                    <w:rPr>
                      <w:color w:val="000000"/>
                      <w:vertAlign w:val="superscript"/>
                    </w:rPr>
                    <w:t xml:space="preserve">[40]</w:t>
                  </w:r>
                  <w:r>
                    <w:t xml:space="preserve">    Section 7(1) of the DVA.</w:t>
                  </w:r>
                </w:p>
                <w:p>
                  <w:pPr>
                    <w:pStyle w:val="BodyText"/>
                  </w:pPr>
                  <w:r>
                    <w:rPr>
                      <w:color w:val="000000"/>
                      <w:vertAlign w:val="superscript"/>
                    </w:rPr>
                    <w:t xml:space="preserve">[41]</w:t>
                  </w:r>
                  <w:r>
                    <w:t xml:space="preserve">    Section 7(1) of the DVA.</w:t>
                  </w:r>
                </w:p>
                <w:p>
                  <w:pPr>
                    <w:pStyle w:val="BodyText"/>
                  </w:pPr>
                  <w:r>
                    <w:rPr>
                      <w:color w:val="000000"/>
                      <w:vertAlign w:val="superscript"/>
                    </w:rPr>
                    <w:t xml:space="preserve">[42]</w:t>
                  </w:r>
                  <w:r>
                    <w:t xml:space="preserve">    Section 5(2) of the DVA; Section 3(2) of the PFH Act.</w:t>
                  </w:r>
                </w:p>
                <w:p>
                  <w:pPr>
                    <w:pStyle w:val="BodyText"/>
                  </w:pPr>
                  <w:r>
                    <w:rPr>
                      <w:color w:val="000000"/>
                      <w:vertAlign w:val="superscript"/>
                    </w:rPr>
                    <w:t xml:space="preserve">[43]</w:t>
                  </w:r>
                  <w:r>
                    <w:t xml:space="preserve">    Section 4(5) of the DVA; Section 2(5) of the PFH Act.</w:t>
                  </w:r>
                </w:p>
                <w:p>
                  <w:pPr>
                    <w:pStyle w:val="BodyText"/>
                  </w:pPr>
                  <w:r>
                    <w:rPr>
                      <w:color w:val="000000"/>
                      <w:vertAlign w:val="superscript"/>
                    </w:rPr>
                    <w:t xml:space="preserve">[44]</w:t>
                  </w:r>
                  <w:r>
                    <w:t xml:space="preserve">    Section 4(3) of the DVA.</w:t>
                  </w:r>
                </w:p>
                <w:p>
                  <w:pPr>
                    <w:pStyle w:val="BodyText"/>
                  </w:pPr>
                  <w:r>
                    <w:rPr>
                      <w:color w:val="000000"/>
                      <w:vertAlign w:val="superscript"/>
                    </w:rPr>
                    <w:t xml:space="preserve">[45]</w:t>
                  </w:r>
                  <w:r>
                    <w:t xml:space="preserve">    Section 4(3) of the DVA</w:t>
                  </w:r>
                </w:p>
                <w:p>
                  <w:pPr>
                    <w:pStyle w:val="BodyText"/>
                  </w:pPr>
                  <w:r>
                    <w:rPr>
                      <w:color w:val="000000"/>
                      <w:vertAlign w:val="superscript"/>
                    </w:rPr>
                    <w:t xml:space="preserve">[46]</w:t>
                  </w:r>
                  <w:r>
                    <w:t xml:space="preserve">    Section 4(4) of the DVA.</w:t>
                  </w:r>
                </w:p>
                <w:p>
                  <w:pPr>
                    <w:pStyle w:val="BodyText"/>
                  </w:pPr>
                  <w:r>
                    <w:rPr>
                      <w:color w:val="000000"/>
                      <w:vertAlign w:val="superscript"/>
                    </w:rPr>
                    <w:t xml:space="preserve">[47]</w:t>
                  </w:r>
                  <w:r>
                    <w:t xml:space="preserve">    Section 5(6) of the DVA.</w:t>
                  </w:r>
                </w:p>
                <w:p>
                  <w:pPr>
                    <w:pStyle w:val="BodyText"/>
                  </w:pPr>
                  <w:r>
                    <w:rPr>
                      <w:color w:val="000000"/>
                      <w:vertAlign w:val="superscript"/>
                    </w:rPr>
                    <w:t xml:space="preserve">[48]</w:t>
                  </w:r>
                  <w:r>
                    <w:t xml:space="preserve">    Section 6(7) of the DVA.</w:t>
                  </w:r>
                </w:p>
                <w:p>
                  <w:pPr>
                    <w:pStyle w:val="BodyText"/>
                  </w:pPr>
                  <w:r>
                    <w:rPr>
                      <w:color w:val="000000"/>
                      <w:vertAlign w:val="superscript"/>
                    </w:rPr>
                    <w:t xml:space="preserve">[49]</w:t>
                  </w:r>
                  <w:r>
                    <w:t xml:space="preserve">    Section 5 of the DVA.</w:t>
                  </w:r>
                </w:p>
                <w:p>
                  <w:pPr>
                    <w:pStyle w:val="BodyText"/>
                  </w:pPr>
                  <w:r>
                    <w:rPr>
                      <w:color w:val="000000"/>
                      <w:vertAlign w:val="superscript"/>
                    </w:rPr>
                    <w:t xml:space="preserve">[50]</w:t>
                  </w:r>
                  <w:r>
                    <w:t xml:space="preserve">    Section 6(7) of the DVA.</w:t>
                  </w:r>
                </w:p>
                <w:p>
                  <w:pPr>
                    <w:pStyle w:val="BodyText"/>
                  </w:pPr>
                  <w:r>
                    <w:rPr>
                      <w:color w:val="000000"/>
                      <w:vertAlign w:val="superscript"/>
                    </w:rPr>
                    <w:t xml:space="preserve">[51]</w:t>
                  </w:r>
                  <w:r>
                    <w:t xml:space="preserve">    Section 1 of the DVA.</w:t>
                  </w:r>
                </w:p>
                <w:p>
                  <w:pPr>
                    <w:pStyle w:val="BodyText"/>
                  </w:pPr>
                  <w:r>
                    <w:rPr>
                      <w:color w:val="000000"/>
                      <w:vertAlign w:val="superscript"/>
                    </w:rPr>
                    <w:t xml:space="preserve">[52]</w:t>
                  </w:r>
                  <w:r>
                    <w:t xml:space="preserve">    Section 9(8) of the PFH Act.</w:t>
                  </w:r>
                </w:p>
                <w:p>
                  <w:pPr>
                    <w:pStyle w:val="BodyText"/>
                  </w:pPr>
                  <w:r>
                    <w:rPr>
                      <w:color w:val="000000"/>
                      <w:vertAlign w:val="superscript"/>
                    </w:rPr>
                    <w:t xml:space="preserve">[53]</w:t>
                  </w:r>
                  <w:r>
                    <w:t xml:space="preserve">    Section 5(2) of the DVA.</w:t>
                  </w:r>
                </w:p>
                <w:p>
                  <w:pPr>
                    <w:pStyle w:val="BodyText"/>
                  </w:pPr>
                  <w:r>
                    <w:rPr>
                      <w:color w:val="000000"/>
                      <w:vertAlign w:val="superscript"/>
                    </w:rPr>
                    <w:t xml:space="preserve">[54]</w:t>
                  </w:r>
                  <w:r>
                    <w:t xml:space="preserve">    Section 5(3) of the DVA.</w:t>
                  </w:r>
                </w:p>
                <w:p>
                  <w:pPr>
                    <w:pStyle w:val="BodyText"/>
                  </w:pPr>
                  <w:r>
                    <w:rPr>
                      <w:color w:val="000000"/>
                      <w:vertAlign w:val="superscript"/>
                    </w:rPr>
                    <w:t xml:space="preserve">[55]</w:t>
                  </w:r>
                  <w:r>
                    <w:t xml:space="preserve">    Section 6(2) of the DVA.</w:t>
                  </w:r>
                </w:p>
                <w:p>
                  <w:pPr>
                    <w:pStyle w:val="BodyText"/>
                  </w:pPr>
                  <w:r>
                    <w:rPr>
                      <w:color w:val="000000"/>
                      <w:vertAlign w:val="superscript"/>
                    </w:rPr>
                    <w:t xml:space="preserve">[56]</w:t>
                  </w:r>
                  <w:r>
                    <w:t xml:space="preserve">    Section 6(1) of the DVA.</w:t>
                  </w:r>
                </w:p>
                <w:p>
                  <w:pPr>
                    <w:pStyle w:val="BodyText"/>
                  </w:pPr>
                  <w:r>
                    <w:rPr>
                      <w:color w:val="000000"/>
                      <w:vertAlign w:val="superscript"/>
                    </w:rPr>
                    <w:t xml:space="preserve">[57]</w:t>
                  </w:r>
                  <w:r>
                    <w:t xml:space="preserve">    Section 10 of the DVA.</w:t>
                  </w:r>
                </w:p>
                <w:p>
                  <w:pPr>
                    <w:pStyle w:val="BodyText"/>
                  </w:pPr>
                  <w:r>
                    <w:rPr>
                      <w:color w:val="000000"/>
                      <w:vertAlign w:val="superscript"/>
                    </w:rPr>
                    <w:t xml:space="preserve">[58]</w:t>
                  </w:r>
                  <w:r>
                    <w:t xml:space="preserve">    Section 9(8) of the PFH Act.</w:t>
                  </w:r>
                </w:p>
                <w:p>
                  <w:pPr>
                    <w:pStyle w:val="BodyText"/>
                  </w:pPr>
                  <w:r>
                    <w:rPr>
                      <w:color w:val="000000"/>
                      <w:vertAlign w:val="superscript"/>
                    </w:rPr>
                    <w:t xml:space="preserve">[59]</w:t>
                  </w:r>
                  <w:r>
                    <w:t xml:space="preserve">    Refer to: Domestic Violence. Justice College, </w:t>
                  </w:r>
                  <w:hyperlink w:history="true" r:id="R1aa994bbff004b32">
                    <w:r>
                      <w:rPr>
                        <w:rStyle w:val="Hyperlink"/>
                      </w:rPr>
                      <w:t xml:space="preserve">www.justice.gov.za/juscol/docs/article-02.html</w:t>
                    </w:r>
                  </w:hyperlink>
                  <w:r>
                    <w:t xml:space="preserve">.</w:t>
                  </w:r>
                </w:p>
                <w:p>
                  <w:pPr>
                    <w:pStyle w:val="BodyText"/>
                  </w:pPr>
                  <w:r>
                    <w:rPr>
                      <w:color w:val="000000"/>
                      <w:vertAlign w:val="superscript"/>
                    </w:rPr>
                    <w:t xml:space="preserve">[60]</w:t>
                  </w:r>
                  <w:r>
                    <w:t xml:space="preserve">    Form 2 in terms of Section 4(1) of the DVA.</w:t>
                  </w:r>
                </w:p>
                <w:p>
                  <w:pPr>
                    <w:pStyle w:val="BodyText"/>
                  </w:pPr>
                  <w:r>
                    <w:rPr>
                      <w:color w:val="000000"/>
                      <w:vertAlign w:val="superscript"/>
                    </w:rPr>
                    <w:t xml:space="preserve">[61]</w:t>
                  </w:r>
                  <w:r>
                    <w:t xml:space="preserve">    All forms are available at: </w:t>
                  </w:r>
                  <w:hyperlink w:history="true" r:id="R96e5c5f2d07f472d">
                    <w:r>
                      <w:rPr>
                        <w:rStyle w:val="Hyperlink"/>
                      </w:rPr>
                      <w:t xml:space="preserve">https://www.justice.gov.za/forms/form_dva.htm</w:t>
                    </w:r>
                  </w:hyperlink>
                  <w:r>
                    <w:t xml:space="preserve">; or see application Form 2 PDF at </w:t>
                  </w:r>
                  <w:hyperlink w:history="true" r:id="R53323b73a24b42ce">
                    <w:r>
                      <w:rPr>
                        <w:rStyle w:val="Hyperlink"/>
                      </w:rPr>
                      <w:t xml:space="preserve">https://www.justice.gov.za/forms/dva/dva_form%2002.pdf</w:t>
                    </w:r>
                  </w:hyperlink>
                  <w:r>
                    <w:t xml:space="preserve">.</w:t>
                  </w:r>
                </w:p>
                <w:p>
                  <w:pPr>
                    <w:pStyle w:val="BodyText"/>
                  </w:pPr>
                  <w:r>
                    <w:rPr>
                      <w:color w:val="000000"/>
                      <w:vertAlign w:val="superscript"/>
                    </w:rPr>
                    <w:t xml:space="preserve">[62]</w:t>
                  </w:r>
                  <w:r>
                    <w:t xml:space="preserve">    Form 2 under Section 4(1) of the DVA.</w:t>
                  </w:r>
                </w:p>
                <w:p>
                  <w:pPr>
                    <w:pStyle w:val="BodyText"/>
                  </w:pPr>
                  <w:r>
                    <w:rPr>
                      <w:color w:val="000000"/>
                      <w:vertAlign w:val="superscript"/>
                    </w:rPr>
                    <w:t xml:space="preserve">[63]</w:t>
                  </w:r>
                  <w:r>
                    <w:t xml:space="preserve">    If an applicant does not have this information, she will need to give some indication as to where the respondent can be found.</w:t>
                  </w:r>
                </w:p>
                <w:p>
                  <w:pPr>
                    <w:pStyle w:val="BodyText"/>
                  </w:pPr>
                  <w:r>
                    <w:rPr>
                      <w:color w:val="000000"/>
                      <w:vertAlign w:val="superscript"/>
                    </w:rPr>
                    <w:t xml:space="preserve">[64]</w:t>
                  </w:r>
                  <w:r>
                    <w:t xml:space="preserve">    Section 5(1) of the DVA; see also: Justice Department FAQs on Domestic Violence at </w:t>
                  </w:r>
                  <w:hyperlink w:history="true" r:id="R39e304b3bb504b95">
                    <w:r>
                      <w:rPr>
                        <w:rStyle w:val="Hyperlink"/>
                      </w:rPr>
                      <w:t xml:space="preserve">https://www.justice.gov.za/vg/dv-faq.html</w:t>
                    </w:r>
                  </w:hyperlink>
                  <w:r>
                    <w:t xml:space="preserve">.</w:t>
                  </w:r>
                </w:p>
                <w:p>
                  <w:pPr>
                    <w:pStyle w:val="BodyText"/>
                  </w:pPr>
                  <w:r>
                    <w:rPr>
                      <w:color w:val="000000"/>
                      <w:vertAlign w:val="superscript"/>
                    </w:rPr>
                    <w:t xml:space="preserve">[65]</w:t>
                  </w:r>
                  <w:r>
                    <w:t xml:space="preserve">    Section 11(1) of the DVA.</w:t>
                  </w:r>
                </w:p>
                <w:p>
                  <w:pPr>
                    <w:pStyle w:val="BodyText"/>
                  </w:pPr>
                  <w:r>
                    <w:rPr>
                      <w:color w:val="000000"/>
                      <w:vertAlign w:val="superscript"/>
                    </w:rPr>
                    <w:t xml:space="preserve">[66]</w:t>
                  </w:r>
                  <w:r>
                    <w:t xml:space="preserve">    Section 11(1) of the DVA.</w:t>
                  </w:r>
                </w:p>
                <w:p>
                  <w:pPr>
                    <w:pStyle w:val="BodyText"/>
                  </w:pPr>
                  <w:r>
                    <w:rPr>
                      <w:color w:val="000000"/>
                      <w:vertAlign w:val="superscript"/>
                    </w:rPr>
                    <w:t xml:space="preserve">[67]</w:t>
                  </w:r>
                  <w:r>
                    <w:t xml:space="preserve">    Section 11(1)(b) of the DVA.</w:t>
                  </w:r>
                </w:p>
                <w:p>
                  <w:pPr>
                    <w:pStyle w:val="BodyText"/>
                  </w:pPr>
                  <w:r>
                    <w:rPr>
                      <w:color w:val="000000"/>
                      <w:vertAlign w:val="superscript"/>
                    </w:rPr>
                    <w:t xml:space="preserve">[68]</w:t>
                  </w:r>
                  <w:r>
                    <w:t xml:space="preserve">    Section IV.C.(a)(i) of CEDAW Recommendation 35.</w:t>
                  </w:r>
                </w:p>
                <w:p>
                  <w:pPr>
                    <w:pStyle w:val="BodyText"/>
                  </w:pPr>
                  <w:r>
                    <w:rPr>
                      <w:color w:val="000000"/>
                      <w:vertAlign w:val="superscript"/>
                    </w:rPr>
                    <w:t xml:space="preserve">[69]</w:t>
                  </w:r>
                  <w:r>
                    <w:t xml:space="preserve">    Section 7 of the DVA.</w:t>
                  </w:r>
                </w:p>
                <w:p>
                  <w:pPr>
                    <w:pStyle w:val="BodyText"/>
                  </w:pPr>
                  <w:r>
                    <w:rPr>
                      <w:color w:val="000000"/>
                      <w:vertAlign w:val="superscript"/>
                    </w:rPr>
                    <w:t xml:space="preserve">[70]</w:t>
                  </w:r>
                  <w:r>
                    <w:t xml:space="preserve">    Section 5(5) of the DVA.</w:t>
                  </w:r>
                </w:p>
                <w:p>
                  <w:pPr>
                    <w:pStyle w:val="BodyText"/>
                  </w:pPr>
                  <w:r>
                    <w:rPr>
                      <w:color w:val="000000"/>
                      <w:vertAlign w:val="superscript"/>
                    </w:rPr>
                    <w:t xml:space="preserve">[71]</w:t>
                  </w:r>
                  <w:r>
                    <w:t xml:space="preserve">    Section 5(2) of the DVA</w:t>
                  </w:r>
                </w:p>
                <w:p>
                  <w:pPr>
                    <w:pStyle w:val="BodyText"/>
                  </w:pPr>
                  <w:r>
                    <w:rPr>
                      <w:color w:val="000000"/>
                      <w:vertAlign w:val="superscript"/>
                    </w:rPr>
                    <w:t xml:space="preserve">[72]</w:t>
                  </w:r>
                  <w:r>
                    <w:t xml:space="preserve">    Section 4(5) of the DVA.</w:t>
                  </w:r>
                </w:p>
                <w:p>
                  <w:pPr>
                    <w:pStyle w:val="BodyText"/>
                  </w:pPr>
                  <w:r>
                    <w:rPr>
                      <w:color w:val="000000"/>
                      <w:vertAlign w:val="superscript"/>
                    </w:rPr>
                    <w:t xml:space="preserve">[73]</w:t>
                  </w:r>
                  <w:r>
                    <w:t xml:space="preserve">    Under the CPA a peace officer includes "any magistrate, justice, police official, member of the prisons service as defined in Section 1 of the Prisons Act 1959 (Act 8 of 1959) and in relation to any area, offence, class of offence or power referred to in a notice issued under Section 334(1), any person who is a peace officer under that section."</w:t>
                  </w:r>
                </w:p>
                <w:p>
                  <w:pPr>
                    <w:pStyle w:val="BodyText"/>
                  </w:pPr>
                  <w:r>
                    <w:rPr>
                      <w:color w:val="000000"/>
                      <w:vertAlign w:val="superscript"/>
                    </w:rPr>
                    <w:t xml:space="preserve">[74]</w:t>
                  </w:r>
                  <w:r>
                    <w:t xml:space="preserve">    Section 3 of the DVA.</w:t>
                  </w:r>
                </w:p>
                <w:p>
                  <w:pPr>
                    <w:pStyle w:val="BodyText"/>
                  </w:pPr>
                  <w:r>
                    <w:rPr>
                      <w:color w:val="000000"/>
                      <w:vertAlign w:val="superscript"/>
                    </w:rPr>
                    <w:t xml:space="preserve">[75]</w:t>
                  </w:r>
                  <w:r>
                    <w:t xml:space="preserve">    Section 5(1) of the DVA.</w:t>
                  </w:r>
                </w:p>
                <w:p>
                  <w:pPr>
                    <w:pStyle w:val="BodyText"/>
                  </w:pPr>
                  <w:r>
                    <w:rPr>
                      <w:color w:val="000000"/>
                      <w:vertAlign w:val="superscript"/>
                    </w:rPr>
                    <w:t xml:space="preserve">[76]</w:t>
                  </w:r>
                  <w:r>
                    <w:t xml:space="preserve">    In terms of Section 1 of the DVA, an act of "Domestic violence" includes: "physical abuse; sexual abuse; emotional, verbal and psychological abuse; economic abuse; intimidation; harassment; stalking; damage to property; entry into the complaint's residence without consent, where the parties do not share the same residence; or any other controlling or abusive behavior towards a complainant, where such conduct harms, or may cause imminent harm to, the safety, health or wellbeing of the complainant."</w:t>
                  </w:r>
                </w:p>
                <w:p>
                  <w:pPr>
                    <w:pStyle w:val="BodyText"/>
                  </w:pPr>
                  <w:r>
                    <w:rPr>
                      <w:color w:val="000000"/>
                      <w:vertAlign w:val="superscript"/>
                    </w:rPr>
                    <w:t xml:space="preserve">[77]</w:t>
                  </w:r>
                  <w:r>
                    <w:t xml:space="preserve">    Section 5(2) of the DVA.</w:t>
                  </w:r>
                </w:p>
                <w:p>
                  <w:pPr>
                    <w:pStyle w:val="BodyText"/>
                  </w:pPr>
                  <w:r>
                    <w:rPr>
                      <w:color w:val="000000"/>
                      <w:vertAlign w:val="superscript"/>
                    </w:rPr>
                    <w:t xml:space="preserve">[78]</w:t>
                  </w:r>
                  <w:r>
                    <w:t xml:space="preserve">    The "Return Date" being not less than 10 days after notice of the proceedings against the abuser has been served on the abuser (Section 5(5) of the DVA).</w:t>
                  </w:r>
                </w:p>
                <w:p>
                  <w:pPr>
                    <w:pStyle w:val="BodyText"/>
                  </w:pPr>
                  <w:r>
                    <w:rPr>
                      <w:color w:val="000000"/>
                      <w:vertAlign w:val="superscript"/>
                    </w:rPr>
                    <w:t xml:space="preserve">[79]</w:t>
                  </w:r>
                  <w:r>
                    <w:t xml:space="preserve">    Section 6(1) of the DVA.</w:t>
                  </w:r>
                </w:p>
                <w:p>
                  <w:pPr>
                    <w:pStyle w:val="BodyText"/>
                  </w:pPr>
                  <w:r>
                    <w:rPr>
                      <w:color w:val="000000"/>
                      <w:vertAlign w:val="superscript"/>
                    </w:rPr>
                    <w:t xml:space="preserve">[80]</w:t>
                  </w:r>
                  <w:r>
                    <w:t xml:space="preserve">    Section 6(2) and (4) of the DVA.</w:t>
                  </w:r>
                </w:p>
                <w:p>
                  <w:pPr>
                    <w:pStyle w:val="BodyText"/>
                  </w:pPr>
                  <w:r>
                    <w:rPr>
                      <w:color w:val="000000"/>
                      <w:vertAlign w:val="superscript"/>
                    </w:rPr>
                    <w:t xml:space="preserve">[81]</w:t>
                  </w:r>
                  <w:r>
                    <w:t xml:space="preserve">    Section 7 of the DVA.</w:t>
                  </w:r>
                </w:p>
                <w:p>
                  <w:pPr>
                    <w:pStyle w:val="BodyText"/>
                  </w:pPr>
                  <w:r>
                    <w:rPr>
                      <w:color w:val="000000"/>
                      <w:vertAlign w:val="superscript"/>
                    </w:rPr>
                    <w:t xml:space="preserve">[82]</w:t>
                  </w:r>
                  <w:r>
                    <w:t xml:space="preserve">    Section 7(1) of the DVA.</w:t>
                  </w:r>
                </w:p>
                <w:p>
                  <w:pPr>
                    <w:pStyle w:val="BodyText"/>
                  </w:pPr>
                  <w:r>
                    <w:rPr>
                      <w:color w:val="000000"/>
                      <w:vertAlign w:val="superscript"/>
                    </w:rPr>
                    <w:t xml:space="preserve">[83]</w:t>
                  </w:r>
                  <w:r>
                    <w:t xml:space="preserve">    Section 7(3) of the DVA.</w:t>
                  </w:r>
                </w:p>
                <w:p>
                  <w:pPr>
                    <w:pStyle w:val="BodyText"/>
                  </w:pPr>
                  <w:r>
                    <w:rPr>
                      <w:color w:val="000000"/>
                      <w:vertAlign w:val="superscript"/>
                    </w:rPr>
                    <w:t xml:space="preserve">[84]</w:t>
                  </w:r>
                  <w:r>
                    <w:t xml:space="preserve">    See commentary from: Lillian Artz "Tough Choices: Difficulties facing magistrates in applying Protection Orders" (2004) SA Crime Quarterly No 8.</w:t>
                  </w:r>
                </w:p>
                <w:p>
                  <w:pPr>
                    <w:pStyle w:val="BodyText"/>
                  </w:pPr>
                  <w:r>
                    <w:rPr>
                      <w:color w:val="000000"/>
                      <w:vertAlign w:val="superscript"/>
                    </w:rPr>
                    <w:t xml:space="preserve">[85]</w:t>
                  </w:r>
                  <w:r>
                    <w:t xml:space="preserve">    Section 7(2) of the DVA.</w:t>
                  </w:r>
                </w:p>
                <w:p>
                  <w:pPr>
                    <w:pStyle w:val="BodyText"/>
                  </w:pPr>
                  <w:r>
                    <w:rPr>
                      <w:color w:val="000000"/>
                      <w:vertAlign w:val="superscript"/>
                    </w:rPr>
                    <w:t xml:space="preserve">[86]</w:t>
                  </w:r>
                  <w:r>
                    <w:t xml:space="preserve">    Under the CPA, a peace officer includes "any magistrate, justice, police official, member of the prisons service as defined in Section 1 of the Prisons Act 1959 (Act 8 of 1959) and in relation to any area, offence, class of offence or power referred to in a notice issued under Section 334(1), any person who is a peace officer under that section."</w:t>
                  </w:r>
                </w:p>
                <w:p>
                  <w:pPr>
                    <w:pStyle w:val="BodyText"/>
                  </w:pPr>
                  <w:r>
                    <w:rPr>
                      <w:color w:val="000000"/>
                      <w:vertAlign w:val="superscript"/>
                    </w:rPr>
                    <w:t xml:space="preserve">[87]</w:t>
                  </w:r>
                  <w:r>
                    <w:t xml:space="preserve">    Section 7(2) of the DVA.</w:t>
                  </w:r>
                </w:p>
                <w:p>
                  <w:pPr>
                    <w:pStyle w:val="BodyText"/>
                  </w:pPr>
                  <w:r>
                    <w:rPr>
                      <w:color w:val="000000"/>
                      <w:vertAlign w:val="superscript"/>
                    </w:rPr>
                    <w:t xml:space="preserve">[88]</w:t>
                  </w:r>
                  <w:r>
                    <w:rPr>
                      <w:i/>
                    </w:rPr>
                    <w:t xml:space="preserve">    KS v AM </w:t>
                  </w:r>
                  <w:r>
                    <w:t xml:space="preserve">(A3032/2016) [2017] ZAGPJHC 297; 2018 (1) SACR 240 (GJ) (24 October 2017) at </w:t>
                  </w:r>
                  <w:r>
                    <w:t xml:space="preserve">para 21.</w:t>
                  </w:r>
                </w:p>
                <w:p>
                  <w:pPr>
                    <w:pStyle w:val="BodyText"/>
                  </w:pPr>
                  <w:r>
                    <w:rPr>
                      <w:color w:val="000000"/>
                      <w:vertAlign w:val="superscript"/>
                    </w:rPr>
                    <w:t xml:space="preserve">[89]</w:t>
                  </w:r>
                  <w:r>
                    <w:t xml:space="preserve">    Section 7(6) of the DVA.</w:t>
                  </w:r>
                </w:p>
                <w:p>
                  <w:pPr>
                    <w:pStyle w:val="BodyText"/>
                  </w:pPr>
                  <w:r>
                    <w:rPr>
                      <w:color w:val="000000"/>
                      <w:vertAlign w:val="superscript"/>
                    </w:rPr>
                    <w:t xml:space="preserve">[90]</w:t>
                  </w:r>
                  <w:r>
                    <w:t xml:space="preserve">    Section 7(4) of the DVA.</w:t>
                  </w:r>
                </w:p>
                <w:p>
                  <w:pPr>
                    <w:pStyle w:val="BodyText"/>
                  </w:pPr>
                  <w:r>
                    <w:rPr>
                      <w:color w:val="000000"/>
                      <w:vertAlign w:val="superscript"/>
                    </w:rPr>
                    <w:t xml:space="preserve">[91]</w:t>
                  </w:r>
                  <w:r>
                    <w:t xml:space="preserve">    Section 4(1) of the DVA.</w:t>
                  </w:r>
                </w:p>
                <w:p>
                  <w:pPr>
                    <w:pStyle w:val="BodyText"/>
                  </w:pPr>
                  <w:r>
                    <w:rPr>
                      <w:color w:val="000000"/>
                      <w:vertAlign w:val="superscript"/>
                    </w:rPr>
                    <w:t xml:space="preserve">[92]</w:t>
                  </w:r>
                  <w:r>
                    <w:t xml:space="preserve">    Under Section 1 of the DVA, a domestic relationship means "a relationship between a complainant and a respondent in any of the following ways: (a) they are or were married to each other, including marriage according to any law, custom or religion; (b) they (whether they are of the same or of the opposite sex) live or lived together in a relationship in the nature of marriage, although they are not, or were not, married to each other, or are not able to be married to each other; (c) they are the parents of a child or are persons who have or had parental responsibility for that child (whether or not at the same time); (d) they are family members related by consanguinity, affinity or adoption; (e) they are or were in an engagement, dating or customary relationship, including an actual or perceived romantic, intimate or sexual relationship of any duration; or (f) they share or recently shared the same residence."</w:t>
                  </w:r>
                </w:p>
                <w:p>
                  <w:pPr>
                    <w:pStyle w:val="BodyText"/>
                  </w:pPr>
                  <w:r>
                    <w:rPr>
                      <w:color w:val="000000"/>
                      <w:vertAlign w:val="superscript"/>
                    </w:rPr>
                    <w:t xml:space="preserve">[93]</w:t>
                  </w:r>
                  <w:r>
                    <w:t xml:space="preserve">    Section 1 of the DVA.</w:t>
                  </w:r>
                </w:p>
                <w:p>
                  <w:pPr>
                    <w:pStyle w:val="BodyText"/>
                  </w:pPr>
                  <w:r>
                    <w:rPr>
                      <w:color w:val="000000"/>
                      <w:vertAlign w:val="superscript"/>
                    </w:rPr>
                    <w:t xml:space="preserve">[94]</w:t>
                  </w:r>
                  <w:r>
                    <w:t xml:space="preserve">    Section 4(4) of the DVA.</w:t>
                  </w:r>
                </w:p>
                <w:p>
                  <w:pPr>
                    <w:pStyle w:val="BodyText"/>
                  </w:pPr>
                  <w:r>
                    <w:rPr>
                      <w:color w:val="000000"/>
                      <w:vertAlign w:val="superscript"/>
                    </w:rPr>
                    <w:t xml:space="preserve">[95]</w:t>
                  </w:r>
                  <w:r>
                    <w:t xml:space="preserve">    Section 7(4) of the DVA.</w:t>
                  </w:r>
                </w:p>
                <w:p>
                  <w:pPr>
                    <w:pStyle w:val="BodyText"/>
                  </w:pPr>
                  <w:r>
                    <w:rPr>
                      <w:color w:val="000000"/>
                      <w:vertAlign w:val="superscript"/>
                    </w:rPr>
                    <w:t xml:space="preserve">[96]</w:t>
                  </w:r>
                  <w:r>
                    <w:t xml:space="preserve">    Section 1 of the DVA.</w:t>
                  </w:r>
                </w:p>
                <w:p>
                  <w:pPr>
                    <w:pStyle w:val="BodyText"/>
                  </w:pPr>
                  <w:r>
                    <w:rPr>
                      <w:color w:val="000000"/>
                      <w:vertAlign w:val="superscript"/>
                    </w:rPr>
                    <w:t xml:space="preserve">[97]</w:t>
                  </w:r>
                  <w:r>
                    <w:t xml:space="preserve">    See for example </w:t>
                  </w:r>
                  <w:r>
                    <w:rPr>
                      <w:i/>
                    </w:rPr>
                    <w:t xml:space="preserve">Mutale v Goldner </w:t>
                  </w:r>
                  <w:r>
                    <w:t xml:space="preserve">(A129/14) [2014] ZAGPPHC 637 (25 August 2014).</w:t>
                  </w:r>
                </w:p>
                <w:p>
                  <w:pPr>
                    <w:pStyle w:val="BodyText"/>
                  </w:pPr>
                  <w:r>
                    <w:rPr>
                      <w:color w:val="000000"/>
                      <w:vertAlign w:val="superscript"/>
                    </w:rPr>
                    <w:t xml:space="preserve">[98]</w:t>
                  </w:r>
                  <w:r>
                    <w:t xml:space="preserve">    Section 7(7) of the DVA.</w:t>
                  </w:r>
                </w:p>
                <w:p>
                  <w:pPr>
                    <w:pStyle w:val="BodyText"/>
                  </w:pPr>
                  <w:r>
                    <w:rPr>
                      <w:color w:val="000000"/>
                      <w:vertAlign w:val="superscript"/>
                    </w:rPr>
                    <w:t xml:space="preserve">[99]</w:t>
                  </w:r>
                  <w:r>
                    <w:t xml:space="preserve">    Section 15 of the DVA.</w:t>
                  </w:r>
                </w:p>
                <w:p>
                  <w:pPr>
                    <w:pStyle w:val="BodyText"/>
                  </w:pPr>
                  <w:r>
                    <w:rPr>
                      <w:color w:val="000000"/>
                      <w:vertAlign w:val="superscript"/>
                    </w:rPr>
                    <w:t xml:space="preserve">[100]</w:t>
                  </w:r>
                  <w:r>
                    <w:t xml:space="preserve">    Section 1 of the DVA.</w:t>
                  </w:r>
                </w:p>
                <w:p>
                  <w:pPr>
                    <w:pStyle w:val="BodyText"/>
                  </w:pPr>
                  <w:r>
                    <w:rPr>
                      <w:color w:val="000000"/>
                      <w:vertAlign w:val="superscript"/>
                    </w:rPr>
                    <w:t xml:space="preserve">[101]</w:t>
                  </w:r>
                  <w:r>
                    <w:t xml:space="preserve">    Section 2 of the DVA.</w:t>
                  </w:r>
                </w:p>
                <w:p>
                  <w:pPr>
                    <w:pStyle w:val="BodyText"/>
                  </w:pPr>
                  <w:r>
                    <w:rPr>
                      <w:color w:val="000000"/>
                      <w:vertAlign w:val="superscript"/>
                    </w:rPr>
                    <w:t xml:space="preserve">[102]</w:t>
                  </w:r>
                  <w:r>
                    <w:t xml:space="preserve"> Section 51 of the CPA, a peace officer includes "any magistrate, justice, police official, member of the prisons service as defined in Section 1 of the Prisons Act 1959 (Act 8 of 1959) and in relation to any area, offence, class of offence or power referred to in a notice issued under Section 334(1), any person who is a peace officer under that section."</w:t>
                  </w:r>
                </w:p>
                <w:p>
                  <w:pPr>
                    <w:pStyle w:val="BodyText"/>
                  </w:pPr>
                  <w:r>
                    <w:rPr>
                      <w:color w:val="000000"/>
                      <w:vertAlign w:val="superscript"/>
                    </w:rPr>
                    <w:t xml:space="preserve">[103]</w:t>
                  </w:r>
                  <w:r>
                    <w:t xml:space="preserve">    Section 3 of the DVA.</w:t>
                  </w:r>
                </w:p>
                <w:p>
                  <w:pPr>
                    <w:pStyle w:val="BodyText"/>
                  </w:pPr>
                  <w:r>
                    <w:rPr>
                      <w:color w:val="000000"/>
                      <w:vertAlign w:val="superscript"/>
                    </w:rPr>
                    <w:t xml:space="preserve">[104]</w:t>
                  </w:r>
                  <w:r>
                    <w:t xml:space="preserve">    Section 73 of the CPA.</w:t>
                  </w:r>
                </w:p>
                <w:p>
                  <w:pPr>
                    <w:pStyle w:val="BodyText"/>
                  </w:pPr>
                  <w:r>
                    <w:rPr>
                      <w:color w:val="000000"/>
                      <w:vertAlign w:val="superscript"/>
                    </w:rPr>
                    <w:t xml:space="preserve">[105]</w:t>
                  </w:r>
                  <w:r>
                    <w:t xml:space="preserve">    Section 5 and 6 of the DVA.</w:t>
                  </w:r>
                </w:p>
                <w:p>
                  <w:pPr>
                    <w:pStyle w:val="BodyText"/>
                  </w:pPr>
                  <w:r>
                    <w:rPr>
                      <w:color w:val="000000"/>
                      <w:vertAlign w:val="superscript"/>
                    </w:rPr>
                    <w:t xml:space="preserve">[106]</w:t>
                  </w:r>
                  <w:r>
                    <w:t xml:space="preserve">    National Directives and Instructions on conducting a Forensic Examination on survivors of Sexual Offence cases.</w:t>
                  </w:r>
                </w:p>
                <w:p>
                  <w:pPr>
                    <w:pStyle w:val="BodyText"/>
                  </w:pPr>
                  <w:r>
                    <w:rPr>
                      <w:color w:val="000000"/>
                      <w:vertAlign w:val="superscript"/>
                    </w:rPr>
                    <w:t xml:space="preserve">[107]</w:t>
                  </w:r>
                  <w:r>
                    <w:t xml:space="preserve">    Section 5(2) of the DVA.</w:t>
                  </w:r>
                </w:p>
                <w:p>
                  <w:pPr>
                    <w:pStyle w:val="BodyText"/>
                  </w:pPr>
                  <w:r>
                    <w:rPr>
                      <w:color w:val="000000"/>
                      <w:vertAlign w:val="superscript"/>
                    </w:rPr>
                    <w:t xml:space="preserve">[108]</w:t>
                  </w:r>
                  <w:r>
                    <w:t xml:space="preserve">    CR Snyman, Criminal Law (South Africa: LexisNexis, 2014), page 102.</w:t>
                  </w:r>
                </w:p>
                <w:p>
                  <w:pPr>
                    <w:pStyle w:val="BodyText"/>
                  </w:pPr>
                  <w:r>
                    <w:rPr>
                      <w:color w:val="000000"/>
                      <w:vertAlign w:val="superscript"/>
                    </w:rPr>
                    <w:t xml:space="preserve">[109]</w:t>
                  </w:r>
                  <w:r>
                    <w:t xml:space="preserve">    CR Snyman, Criminal Law (South Africa: LexisNexis, 2014), page 114.</w:t>
                  </w:r>
                </w:p>
                <w:p>
                  <w:pPr>
                    <w:pStyle w:val="BodyText"/>
                  </w:pPr>
                  <w:r>
                    <w:rPr>
                      <w:color w:val="000000"/>
                      <w:vertAlign w:val="superscript"/>
                    </w:rPr>
                    <w:t xml:space="preserve">[110]</w:t>
                  </w:r>
                  <w:r>
                    <w:t xml:space="preserve">    CR Snyman, Criminal Law (South Africa: LexisNexis, 2014), page 122.</w:t>
                  </w:r>
                </w:p>
                <w:p>
                  <w:pPr>
                    <w:pStyle w:val="BodyText"/>
                  </w:pPr>
                  <w:r>
                    <w:rPr>
                      <w:color w:val="000000"/>
                      <w:vertAlign w:val="superscript"/>
                    </w:rPr>
                    <w:t xml:space="preserve">[111]</w:t>
                  </w:r>
                  <w:r>
                    <w:t xml:space="preserve">    CR Snyman, Criminal Law (South Africa: LexisNexis, 2014), page 127.</w:t>
                  </w:r>
                </w:p>
                <w:p>
                  <w:pPr>
                    <w:pStyle w:val="BodyText"/>
                  </w:pPr>
                  <w:r>
                    <w:rPr>
                      <w:color w:val="000000"/>
                      <w:vertAlign w:val="superscript"/>
                    </w:rPr>
                    <w:t xml:space="preserve">[112]</w:t>
                  </w:r>
                  <w:r>
                    <w:t xml:space="preserve">    CR Snyman, Criminal Law (South Africa: LexisNexis, 2014), page 127.</w:t>
                  </w:r>
                </w:p>
                <w:p>
                  <w:pPr>
                    <w:pStyle w:val="BodyText"/>
                  </w:pPr>
                  <w:r>
                    <w:rPr>
                      <w:color w:val="000000"/>
                      <w:vertAlign w:val="superscript"/>
                    </w:rPr>
                    <w:t xml:space="preserve">[113]</w:t>
                  </w:r>
                  <w:r>
                    <w:t xml:space="preserve">    CR Snyman, Criminal Law (South Africa: LexisNexis, 2014), page 128.</w:t>
                  </w:r>
                </w:p>
                <w:p>
                  <w:pPr>
                    <w:pStyle w:val="BodyText"/>
                  </w:pPr>
                  <w:r>
                    <w:rPr>
                      <w:color w:val="000000"/>
                      <w:vertAlign w:val="superscript"/>
                    </w:rPr>
                    <w:t xml:space="preserve">[114]</w:t>
                  </w:r>
                  <w:r>
                    <w:t xml:space="preserve">    CR Snyman, Criminal Law (South Africa: LexisNexis, 2014), page 139.</w:t>
                  </w:r>
                </w:p>
                <w:p>
                  <w:pPr>
                    <w:pStyle w:val="BodyText"/>
                  </w:pPr>
                  <w:r>
                    <w:rPr>
                      <w:color w:val="000000"/>
                      <w:vertAlign w:val="superscript"/>
                    </w:rPr>
                    <w:t xml:space="preserve">[115]</w:t>
                  </w:r>
                  <w:r>
                    <w:t xml:space="preserve">    LAWSA, Criminal Law (Volume 11 - Third Edition) at page 84.</w:t>
                  </w:r>
                </w:p>
                <w:p>
                  <w:pPr>
                    <w:pStyle w:val="BodyText"/>
                  </w:pPr>
                  <w:r>
                    <w:rPr>
                      <w:color w:val="000000"/>
                      <w:vertAlign w:val="superscript"/>
                    </w:rPr>
                    <w:t xml:space="preserve">[116]</w:t>
                  </w:r>
                  <w:r>
                    <w:t xml:space="preserve">    LAWSA, Criminal Law (Volume 11 - Third Edition) at page 84.</w:t>
                  </w:r>
                </w:p>
                <w:p>
                  <w:pPr>
                    <w:pStyle w:val="BodyText"/>
                  </w:pPr>
                  <w:r>
                    <w:rPr>
                      <w:color w:val="000000"/>
                      <w:vertAlign w:val="superscript"/>
                    </w:rPr>
                    <w:t xml:space="preserve">[117]</w:t>
                  </w:r>
                  <w:r>
                    <w:t xml:space="preserve">    "Intention" is one of the requirements for the various crimes set out in the Criminal Law (Sexual Offences and Related Matters) Amendment Act.</w:t>
                  </w:r>
                </w:p>
                <w:p>
                  <w:pPr>
                    <w:pStyle w:val="BodyText"/>
                  </w:pPr>
                  <w:r>
                    <w:rPr>
                      <w:color w:val="000000"/>
                      <w:vertAlign w:val="superscript"/>
                    </w:rPr>
                    <w:t xml:space="preserve">[118]</w:t>
                  </w:r>
                  <w:r>
                    <w:t xml:space="preserve">    Section 164 (2) of the CPA.</w:t>
                  </w:r>
                </w:p>
                <w:p>
                  <w:pPr>
                    <w:pStyle w:val="BodyText"/>
                  </w:pPr>
                  <w:r>
                    <w:rPr>
                      <w:color w:val="000000"/>
                      <w:vertAlign w:val="superscript"/>
                    </w:rPr>
                    <w:t xml:space="preserve">[119]</w:t>
                  </w:r>
                  <w:r>
                    <w:rPr>
                      <w:i/>
                    </w:rPr>
                    <w:t xml:space="preserve">    K </w:t>
                  </w:r>
                  <w:r>
                    <w:t xml:space="preserve">1958 3 SA 420 (A) 421, 425; </w:t>
                  </w:r>
                  <w:r>
                    <w:rPr>
                      <w:i/>
                    </w:rPr>
                    <w:t xml:space="preserve">Z </w:t>
                  </w:r>
                  <w:r>
                    <w:t xml:space="preserve">1960 1 SA 739 (A); </w:t>
                  </w:r>
                  <w:r>
                    <w:rPr>
                      <w:i/>
                    </w:rPr>
                    <w:t xml:space="preserve">D </w:t>
                  </w:r>
                  <w:r>
                    <w:t xml:space="preserve">1963 3 SA 263 (E) 267.</w:t>
                  </w:r>
                </w:p>
                <w:p>
                  <w:pPr>
                    <w:pStyle w:val="BodyText"/>
                  </w:pPr>
                  <w:r>
                    <w:rPr>
                      <w:color w:val="000000"/>
                      <w:vertAlign w:val="superscript"/>
                    </w:rPr>
                    <w:t xml:space="preserve">[120]</w:t>
                  </w:r>
                  <w:r>
                    <w:t xml:space="preserve">    Sikunyana</w:t>
                  </w:r>
                  <w:r>
                    <w:rPr>
                      <w:i/>
                    </w:rPr>
                    <w:t xml:space="preserve"> </w:t>
                  </w:r>
                  <w:r>
                    <w:t xml:space="preserve">1961 3 SA 549 (E) 551; </w:t>
                  </w:r>
                  <w:r>
                    <w:rPr>
                      <w:i/>
                    </w:rPr>
                    <w:t xml:space="preserve">D </w:t>
                  </w:r>
                  <w:r>
                    <w:t xml:space="preserve">1998 1 SACR 33 (T).</w:t>
                  </w:r>
                </w:p>
                <w:p>
                  <w:pPr>
                    <w:pStyle w:val="BodyText"/>
                  </w:pPr>
                  <w:r>
                    <w:rPr>
                      <w:color w:val="000000"/>
                      <w:vertAlign w:val="superscript"/>
                    </w:rPr>
                    <w:t xml:space="preserve">[121]</w:t>
                  </w:r>
                  <w:r>
                    <w:t xml:space="preserve">    On necessity, see </w:t>
                  </w:r>
                  <w:r>
                    <w:rPr>
                      <w:i/>
                    </w:rPr>
                    <w:t xml:space="preserve">supra </w:t>
                  </w:r>
                  <w:r>
                    <w:t xml:space="preserve">IV C and on presumed consent </w:t>
                  </w:r>
                  <w:r>
                    <w:rPr>
                      <w:i/>
                    </w:rPr>
                    <w:t xml:space="preserve">infra </w:t>
                  </w:r>
                  <w:r>
                    <w:t xml:space="preserve">IV E.</w:t>
                  </w:r>
                </w:p>
                <w:p>
                  <w:pPr>
                    <w:pStyle w:val="BodyText"/>
                  </w:pPr>
                  <w:r>
                    <w:rPr>
                      <w:color w:val="000000"/>
                      <w:vertAlign w:val="superscript"/>
                    </w:rPr>
                    <w:t xml:space="preserve">[122]</w:t>
                  </w:r>
                  <w:r>
                    <w:t xml:space="preserve">    Strauss 1964 SALJ</w:t>
                  </w:r>
                  <w:r>
                    <w:rPr>
                      <w:i/>
                    </w:rPr>
                    <w:t xml:space="preserve"> </w:t>
                  </w:r>
                  <w:r>
                    <w:t xml:space="preserve">179 183, 187.</w:t>
                  </w:r>
                </w:p>
                <w:p>
                  <w:pPr>
                    <w:pStyle w:val="BodyText"/>
                  </w:pPr>
                  <w:r>
                    <w:rPr>
                      <w:color w:val="000000"/>
                      <w:vertAlign w:val="superscript"/>
                    </w:rPr>
                    <w:t xml:space="preserve">[123]</w:t>
                  </w:r>
                  <w:r>
                    <w:t xml:space="preserve">    Criminal Law (Sexual Offences and Related Matters) Amendment Act.</w:t>
                  </w:r>
                </w:p>
                <w:p>
                  <w:pPr>
                    <w:pStyle w:val="BodyText"/>
                  </w:pPr>
                  <w:r>
                    <w:rPr>
                      <w:color w:val="000000"/>
                      <w:vertAlign w:val="superscript"/>
                    </w:rPr>
                    <w:t xml:space="preserve">[124]</w:t>
                  </w:r>
                  <w:r>
                    <w:t xml:space="preserve">    Matsemela</w:t>
                  </w:r>
                  <w:r>
                    <w:rPr>
                      <w:i/>
                    </w:rPr>
                    <w:t xml:space="preserve"> </w:t>
                  </w:r>
                  <w:r>
                    <w:t xml:space="preserve">1988 2 SA 254 (T); D</w:t>
                  </w:r>
                  <w:r>
                    <w:rPr>
                      <w:i/>
                    </w:rPr>
                    <w:t xml:space="preserve"> </w:t>
                  </w:r>
                  <w:r>
                    <w:t xml:space="preserve">1998 1 SACR 33 (T) 39</w:t>
                  </w:r>
                  <w:r>
                    <w:rPr>
                      <w:i/>
                    </w:rPr>
                    <w:t xml:space="preserve">d–e</w:t>
                  </w:r>
                  <w:r>
                    <w:t xml:space="preserve">.</w:t>
                  </w:r>
                </w:p>
                <w:p>
                  <w:pPr>
                    <w:pStyle w:val="BodyText"/>
                  </w:pPr>
                  <w:r>
                    <w:rPr>
                      <w:color w:val="000000"/>
                      <w:vertAlign w:val="superscript"/>
                    </w:rPr>
                    <w:t xml:space="preserve">[125]</w:t>
                  </w:r>
                  <w:r>
                    <w:t xml:space="preserve">    "What is consent?" Buyi Nkoyane, </w:t>
                  </w:r>
                  <w:hyperlink w:history="true" r:id="Rbfae564e3dec4af4">
                    <w:r>
                      <w:rPr>
                        <w:rStyle w:val="Hyperlink"/>
                      </w:rPr>
                      <w:t xml:space="preserve">https://www.up.ac.za/speakoutup/article/2383078/what-is-consent</w:t>
                    </w:r>
                  </w:hyperlink>
                </w:p>
                <w:p>
                  <w:pPr>
                    <w:pStyle w:val="BodyText"/>
                  </w:pPr>
                  <w:r>
                    <w:rPr>
                      <w:color w:val="000000"/>
                      <w:vertAlign w:val="superscript"/>
                    </w:rPr>
                    <w:t xml:space="preserve">[126]</w:t>
                  </w:r>
                  <w:r>
                    <w:t xml:space="preserve">    CR Snyman, Criminal Law (South Africa: LexisNexis, 2014), page 103-111.</w:t>
                  </w:r>
                </w:p>
                <w:p>
                  <w:pPr>
                    <w:pStyle w:val="BodyText"/>
                  </w:pPr>
                  <w:r>
                    <w:rPr>
                      <w:color w:val="000000"/>
                      <w:vertAlign w:val="superscript"/>
                    </w:rPr>
                    <w:t xml:space="preserve">[127]</w:t>
                  </w:r>
                  <w:r>
                    <w:t xml:space="preserve">    Sections 77 to Sections 79 of the CPA.</w:t>
                  </w:r>
                </w:p>
                <w:p>
                  <w:pPr>
                    <w:pStyle w:val="BodyText"/>
                  </w:pPr>
                  <w:r>
                    <w:rPr>
                      <w:color w:val="000000"/>
                      <w:vertAlign w:val="superscript"/>
                    </w:rPr>
                    <w:t xml:space="preserve">[128]</w:t>
                  </w:r>
                  <w:r>
                    <w:t xml:space="preserve">    Section 162 of the CPA.</w:t>
                  </w:r>
                </w:p>
                <w:p>
                  <w:pPr>
                    <w:pStyle w:val="BodyText"/>
                  </w:pPr>
                  <w:r>
                    <w:rPr>
                      <w:color w:val="000000"/>
                      <w:vertAlign w:val="superscript"/>
                    </w:rPr>
                    <w:t xml:space="preserve">[129]</w:t>
                  </w:r>
                  <w:r>
                    <w:t xml:space="preserve">    Section 164 of the CPA.</w:t>
                  </w:r>
                </w:p>
                <w:p>
                  <w:pPr>
                    <w:pStyle w:val="BodyText"/>
                  </w:pPr>
                  <w:r>
                    <w:rPr>
                      <w:color w:val="000000"/>
                      <w:vertAlign w:val="superscript"/>
                    </w:rPr>
                    <w:t xml:space="preserve">[130]</w:t>
                  </w:r>
                  <w:r>
                    <w:t xml:space="preserve">    Section 163 of the CPA.</w:t>
                  </w:r>
                </w:p>
                <w:p>
                  <w:pPr>
                    <w:pStyle w:val="BodyText"/>
                  </w:pPr>
                  <w:r>
                    <w:rPr>
                      <w:color w:val="000000"/>
                      <w:vertAlign w:val="superscript"/>
                    </w:rPr>
                    <w:t xml:space="preserve">[131]</w:t>
                  </w:r>
                  <w:r>
                    <w:t xml:space="preserve">    (656/12) [2013] ZASCA 124; 2014 (1) SACR 29 (SCA); [2014] 2 All SA 141 (SCA) (23 September 2013).</w:t>
                  </w:r>
                </w:p>
                <w:p>
                  <w:pPr>
                    <w:pStyle w:val="BodyText"/>
                  </w:pPr>
                  <w:r>
                    <w:rPr>
                      <w:color w:val="000000"/>
                      <w:vertAlign w:val="superscript"/>
                    </w:rPr>
                    <w:t xml:space="preserve">[132]</w:t>
                  </w:r>
                  <w:r>
                    <w:t xml:space="preserve">    Section 203 of the CPA</w:t>
                  </w:r>
                </w:p>
                <w:p>
                  <w:pPr>
                    <w:pStyle w:val="BodyText"/>
                  </w:pPr>
                  <w:r>
                    <w:rPr>
                      <w:color w:val="000000"/>
                      <w:vertAlign w:val="superscript"/>
                    </w:rPr>
                    <w:t xml:space="preserve">[133]</w:t>
                  </w:r>
                  <w:r>
                    <w:t xml:space="preserve">    Section 195 of the CPA</w:t>
                  </w:r>
                </w:p>
                <w:p>
                  <w:pPr>
                    <w:pStyle w:val="BodyText"/>
                  </w:pPr>
                  <w:r>
                    <w:rPr>
                      <w:color w:val="000000"/>
                      <w:vertAlign w:val="superscript"/>
                    </w:rPr>
                    <w:t xml:space="preserve">[134]</w:t>
                  </w:r>
                  <w:r>
                    <w:t xml:space="preserve">    Section 201 of the CPA</w:t>
                  </w:r>
                </w:p>
                <w:p>
                  <w:pPr>
                    <w:pStyle w:val="BodyText"/>
                  </w:pPr>
                  <w:r>
                    <w:rPr>
                      <w:color w:val="000000"/>
                      <w:vertAlign w:val="superscript"/>
                    </w:rPr>
                    <w:t xml:space="preserve">[135]</w:t>
                  </w:r>
                  <w:r>
                    <w:t xml:space="preserve">    Section 203, 195 and 201 of the CPA.</w:t>
                  </w:r>
                </w:p>
                <w:p>
                  <w:pPr>
                    <w:pStyle w:val="BodyText"/>
                  </w:pPr>
                  <w:r>
                    <w:rPr>
                      <w:color w:val="000000"/>
                      <w:vertAlign w:val="superscript"/>
                    </w:rPr>
                    <w:t xml:space="preserve">[136]</w:t>
                  </w:r>
                  <w:r>
                    <w:t xml:space="preserve">    Section 192 of the CPA.</w:t>
                  </w:r>
                </w:p>
                <w:p>
                  <w:pPr>
                    <w:pStyle w:val="BodyText"/>
                  </w:pPr>
                  <w:r>
                    <w:rPr>
                      <w:color w:val="000000"/>
                      <w:vertAlign w:val="superscript"/>
                    </w:rPr>
                    <w:t xml:space="preserve">[137]</w:t>
                  </w:r>
                  <w:r>
                    <w:rPr>
                      <w:i/>
                    </w:rPr>
                    <w:t xml:space="preserve">    Matshiva v S </w:t>
                  </w:r>
                  <w:r>
                    <w:t xml:space="preserve">2014 (1) SACR 29 (SCA).</w:t>
                  </w:r>
                </w:p>
                <w:p>
                  <w:pPr>
                    <w:pStyle w:val="BodyText"/>
                  </w:pPr>
                  <w:r>
                    <w:rPr>
                      <w:color w:val="000000"/>
                      <w:vertAlign w:val="superscript"/>
                    </w:rPr>
                    <w:t xml:space="preserve">[138]</w:t>
                  </w:r>
                  <w:r>
                    <w:t xml:space="preserve">    Section 305(3) of the Children's Act.</w:t>
                  </w:r>
                </w:p>
                <w:p>
                  <w:pPr>
                    <w:pStyle w:val="BodyText"/>
                  </w:pPr>
                  <w:r>
                    <w:rPr>
                      <w:color w:val="000000"/>
                      <w:vertAlign w:val="superscript"/>
                    </w:rPr>
                    <w:t xml:space="preserve">[139]</w:t>
                  </w:r>
                  <w:r>
                    <w:t xml:space="preserve">    Section 305(6) of the Children's Act.</w:t>
                  </w:r>
                </w:p>
                <w:p>
                  <w:pPr>
                    <w:pStyle w:val="BodyText"/>
                  </w:pPr>
                  <w:r>
                    <w:rPr>
                      <w:color w:val="000000"/>
                      <w:vertAlign w:val="subscript"/>
                    </w:rPr>
                    <w:t xml:space="preserve">[140]</w:t>
                  </w:r>
                  <w:r>
                    <w:t xml:space="preserve">    Section 305(7) of the Children's Act.</w:t>
                  </w:r>
                </w:p>
                <w:p>
                  <w:pPr>
                    <w:pStyle w:val="BodyText"/>
                  </w:pPr>
                  <w:r>
                    <w:rPr>
                      <w:color w:val="000000"/>
                      <w:vertAlign w:val="superscript"/>
                    </w:rPr>
                    <w:t xml:space="preserve">[141]</w:t>
                  </w:r>
                  <w:r>
                    <w:t xml:space="preserve">    Section 110 of the Children's Act.</w:t>
                  </w:r>
                </w:p>
                <w:p>
                  <w:pPr>
                    <w:pStyle w:val="BodyText"/>
                  </w:pPr>
                  <w:r>
                    <w:rPr>
                      <w:color w:val="000000"/>
                      <w:vertAlign w:val="superscript"/>
                    </w:rPr>
                    <w:t xml:space="preserve">[142]</w:t>
                  </w:r>
                  <w:r>
                    <w:t xml:space="preserve">    Section 283 of the CPA.</w:t>
                  </w:r>
                </w:p>
                <w:p>
                  <w:pPr>
                    <w:pStyle w:val="BodyText"/>
                  </w:pPr>
                  <w:r>
                    <w:rPr>
                      <w:color w:val="000000"/>
                      <w:vertAlign w:val="superscript"/>
                    </w:rPr>
                    <w:t xml:space="preserve">[143]</w:t>
                  </w:r>
                  <w:r>
                    <w:t xml:space="preserve">    196 (2)SA 537(A) at 540 G.</w:t>
                  </w:r>
                </w:p>
                <w:p>
                  <w:pPr>
                    <w:pStyle w:val="BodyText"/>
                  </w:pPr>
                  <w:r>
                    <w:rPr>
                      <w:color w:val="000000"/>
                      <w:vertAlign w:val="superscript"/>
                    </w:rPr>
                    <w:t xml:space="preserve">[144]</w:t>
                  </w:r>
                  <w:r>
                    <w:t xml:space="preserve">    Section 51 of the Criminal Law Amendment Act.</w:t>
                  </w:r>
                </w:p>
                <w:p>
                  <w:pPr>
                    <w:pStyle w:val="BodyText"/>
                  </w:pPr>
                  <w:r>
                    <w:rPr>
                      <w:color w:val="000000"/>
                      <w:vertAlign w:val="superscript"/>
                    </w:rPr>
                    <w:t xml:space="preserve">[145]</w:t>
                  </w:r>
                  <w:r>
                    <w:t xml:space="preserve">    Section 51 of the Criminal Law Amendment Act.</w:t>
                  </w:r>
                </w:p>
                <w:p>
                  <w:pPr>
                    <w:pStyle w:val="BodyText"/>
                  </w:pPr>
                  <w:r>
                    <w:rPr>
                      <w:color w:val="000000"/>
                      <w:vertAlign w:val="superscript"/>
                    </w:rPr>
                    <w:t xml:space="preserve">[146]</w:t>
                  </w:r>
                  <w:r>
                    <w:rPr>
                      <w:i/>
                    </w:rPr>
                    <w:t xml:space="preserve">    Omar v Government of the Republic of South Africa and Others</w:t>
                  </w:r>
                  <w:r>
                    <w:t xml:space="preserve"> (2005) ZACC 17; 2006 (2) SA 289 (CC).</w:t>
                  </w:r>
                </w:p>
                <w:p>
                  <w:pPr>
                    <w:pStyle w:val="BodyText"/>
                  </w:pPr>
                  <w:r>
                    <w:rPr>
                      <w:color w:val="000000"/>
                      <w:vertAlign w:val="superscript"/>
                    </w:rPr>
                    <w:t xml:space="preserve">[147]</w:t>
                  </w:r>
                  <w:r>
                    <w:t xml:space="preserve">    Section 17 of the DVA.</w:t>
                  </w:r>
                </w:p>
                <w:p>
                  <w:pPr>
                    <w:pStyle w:val="BodyText"/>
                  </w:pPr>
                  <w:r>
                    <w:rPr>
                      <w:color w:val="000000"/>
                      <w:vertAlign w:val="superscript"/>
                    </w:rPr>
                    <w:t xml:space="preserve">[148]</w:t>
                  </w:r>
                  <w:r>
                    <w:t xml:space="preserve">    Section 17 of the CPA.</w:t>
                  </w:r>
                </w:p>
                <w:p>
                  <w:pPr>
                    <w:pStyle w:val="BodyText"/>
                  </w:pPr>
                  <w:r>
                    <w:rPr>
                      <w:color w:val="000000"/>
                      <w:vertAlign w:val="superscript"/>
                    </w:rPr>
                    <w:t xml:space="preserve">[149]</w:t>
                  </w:r>
                  <w:r>
                    <w:t xml:space="preserve">    Section 7 of the DVA.</w:t>
                  </w:r>
                </w:p>
                <w:p>
                  <w:pPr>
                    <w:pStyle w:val="BodyText"/>
                  </w:pPr>
                  <w:r>
                    <w:rPr>
                      <w:color w:val="000000"/>
                      <w:vertAlign w:val="superscript"/>
                    </w:rPr>
                    <w:t xml:space="preserve">[150]</w:t>
                  </w:r>
                  <w:r>
                    <w:t xml:space="preserve">    Section 50 of the Criminal Law (Sexual Offences and Related Matters) Amendments Act.</w:t>
                  </w:r>
                </w:p>
                <w:p>
                  <w:pPr>
                    <w:pStyle w:val="BodyText"/>
                  </w:pPr>
                  <w:r>
                    <w:rPr>
                      <w:color w:val="000000"/>
                      <w:vertAlign w:val="superscript"/>
                    </w:rPr>
                    <w:t xml:space="preserve">[151]</w:t>
                  </w:r>
                  <w:r>
                    <w:t xml:space="preserve">    Section 276 of the CPA.</w:t>
                  </w:r>
                </w:p>
                <w:p>
                  <w:pPr>
                    <w:pStyle w:val="BodyText"/>
                  </w:pPr>
                  <w:r>
                    <w:rPr>
                      <w:color w:val="000000"/>
                      <w:vertAlign w:val="superscript"/>
                    </w:rPr>
                    <w:t xml:space="preserve">[152]</w:t>
                  </w:r>
                  <w:r>
                    <w:t xml:space="preserve">    Section 296 of the CPA.</w:t>
                  </w:r>
                </w:p>
                <w:p>
                  <w:pPr>
                    <w:pStyle w:val="BodyText"/>
                  </w:pPr>
                  <w:r>
                    <w:rPr>
                      <w:color w:val="000000"/>
                      <w:vertAlign w:val="superscript"/>
                    </w:rPr>
                    <w:t xml:space="preserve">[153]</w:t>
                  </w:r>
                  <w:r>
                    <w:t xml:space="preserve">    Section 276 of the CPA.</w:t>
                  </w:r>
                </w:p>
                <w:p>
                  <w:pPr>
                    <w:pStyle w:val="BodyText"/>
                  </w:pPr>
                  <w:r>
                    <w:rPr>
                      <w:color w:val="000000"/>
                      <w:vertAlign w:val="superscript"/>
                    </w:rPr>
                    <w:t xml:space="preserve">[154]</w:t>
                  </w:r>
                  <w:r>
                    <w:t xml:space="preserve">    (GA/RES/40/34)</w:t>
                  </w:r>
                </w:p>
                <w:p>
                  <w:pPr>
                    <w:pStyle w:val="BodyText"/>
                  </w:pPr>
                  <w:r>
                    <w:rPr>
                      <w:color w:val="000000"/>
                      <w:vertAlign w:val="superscript"/>
                    </w:rPr>
                    <w:t xml:space="preserve">[155]</w:t>
                  </w:r>
                  <w:r>
                    <w:t xml:space="preserve">    </w:t>
                  </w:r>
                  <w:hyperlink w:history="true" r:id="R3e7940de17054727">
                    <w:r>
                      <w:rPr>
                        <w:rStyle w:val="Hyperlink"/>
                        <w:color w:val="000000"/>
                      </w:rPr>
                      <w:t xml:space="preserve">The Service Charter for Victims in South Africa</w:t>
                    </w:r>
                  </w:hyperlink>
                  <w:r>
                    <w:t xml:space="preserve">.</w:t>
                  </w:r>
                </w:p>
                <w:p>
                  <w:pPr>
                    <w:pStyle w:val="BodyText"/>
                  </w:pPr>
                  <w:r>
                    <w:rPr>
                      <w:color w:val="000000"/>
                      <w:vertAlign w:val="superscript"/>
                    </w:rPr>
                    <w:t xml:space="preserve">[156]</w:t>
                  </w:r>
                  <w:r>
                    <w:rPr>
                      <w:i/>
                    </w:rPr>
                    <w:t xml:space="preserve">    S v Ferreira and Others</w:t>
                  </w:r>
                  <w:r>
                    <w:t xml:space="preserve"> [2004] 4 All SA 373 (SCA) (1 April 2004).</w:t>
                  </w:r>
                </w:p>
                <w:p>
                  <w:pPr>
                    <w:pStyle w:val="BodyText"/>
                  </w:pPr>
                  <w:r>
                    <w:rPr>
                      <w:color w:val="000000"/>
                      <w:vertAlign w:val="superscript"/>
                    </w:rPr>
                    <w:t xml:space="preserve">[157]</w:t>
                  </w:r>
                  <w:r>
                    <w:rPr>
                      <w:i/>
                    </w:rPr>
                    <w:t xml:space="preserve">    S v Ferreira and Others</w:t>
                  </w:r>
                  <w:r>
                    <w:t xml:space="preserve">.</w:t>
                  </w:r>
                </w:p>
                <w:p>
                  <w:pPr>
                    <w:pStyle w:val="BodyText"/>
                  </w:pPr>
                  <w:r>
                    <w:rPr>
                      <w:color w:val="000000"/>
                      <w:vertAlign w:val="superscript"/>
                    </w:rPr>
                    <w:t xml:space="preserve">[158]</w:t>
                  </w:r>
                  <w:r>
                    <w:t xml:space="preserve">    (245/03) [2004] ZASCA 29; [2004] 4 All SA 373 (SCA) (1 April 2004).</w:t>
                  </w:r>
                </w:p>
                <w:p>
                  <w:pPr>
                    <w:pStyle w:val="BodyText"/>
                  </w:pPr>
                  <w:r>
                    <w:rPr>
                      <w:color w:val="000000"/>
                      <w:vertAlign w:val="superscript"/>
                    </w:rPr>
                    <w:t xml:space="preserve">[159]</w:t>
                  </w:r>
                  <w:r>
                    <w:rPr>
                      <w:i/>
                    </w:rPr>
                    <w:t xml:space="preserve">    S v Ferreira and Others</w:t>
                  </w:r>
                  <w:r>
                    <w:t xml:space="preserve">.</w:t>
                  </w:r>
                </w:p>
                <w:p>
                  <w:pPr>
                    <w:pStyle w:val="BodyText"/>
                  </w:pPr>
                  <w:r>
                    <w:rPr>
                      <w:color w:val="000000"/>
                      <w:vertAlign w:val="superscript"/>
                    </w:rPr>
                    <w:t xml:space="preserve">[160]</w:t>
                  </w:r>
                  <w:r>
                    <w:rPr>
                      <w:i/>
                    </w:rPr>
                    <w:t xml:space="preserve">    S v Ferreira and Others</w:t>
                  </w:r>
                  <w:r>
                    <w:t xml:space="preserve">.</w:t>
                  </w:r>
                </w:p>
                <w:p>
                  <w:pPr>
                    <w:pStyle w:val="BodyText"/>
                  </w:pPr>
                  <w:r>
                    <w:rPr>
                      <w:color w:val="000000"/>
                      <w:vertAlign w:val="superscript"/>
                    </w:rPr>
                    <w:t xml:space="preserve">[161]</w:t>
                  </w:r>
                  <w:r>
                    <w:t xml:space="preserve">    Definition of "complainant" in terms of the DVA, 116 of 1998.</w:t>
                  </w:r>
                </w:p>
                <w:p>
                  <w:pPr>
                    <w:pStyle w:val="BodyText"/>
                  </w:pPr>
                  <w:r>
                    <w:rPr>
                      <w:color w:val="000000"/>
                      <w:vertAlign w:val="superscript"/>
                    </w:rPr>
                    <w:t xml:space="preserve">[162]</w:t>
                  </w:r>
                  <w:r>
                    <w:t xml:space="preserve">    Definition of "domestic violence" under the DVA, 116 of 1998.</w:t>
                  </w:r>
                </w:p>
                <w:p>
                  <w:pPr>
                    <w:pStyle w:val="BodyText"/>
                  </w:pPr>
                  <w:r>
                    <w:rPr>
                      <w:color w:val="000000"/>
                      <w:vertAlign w:val="superscript"/>
                    </w:rPr>
                    <w:t xml:space="preserve">[163]</w:t>
                  </w:r>
                  <w:r>
                    <w:t xml:space="preserve">    To access the </w:t>
                  </w:r>
                  <w:r>
                    <w:t xml:space="preserve">Code of Good Practice: Handling of Sexual Harassment Cases in Workplaces, please click </w:t>
                  </w:r>
                  <w:hyperlink w:history="true" r:id="R59fec47b64924dad">
                    <w:r>
                      <w:rPr>
                        <w:rStyle w:val="Hyperlink"/>
                        <w:color w:val="000000"/>
                      </w:rPr>
                      <w:t xml:space="preserve">here</w:t>
                    </w:r>
                  </w:hyperlink>
                  <w:r>
                    <w:t xml:space="preserve">.</w:t>
                  </w:r>
                </w:p>
                <w:p>
                  <w:pPr>
                    <w:pStyle w:val="BodyText"/>
                  </w:pPr>
                  <w:r>
                    <w:rPr>
                      <w:color w:val="000000"/>
                      <w:vertAlign w:val="superscript"/>
                    </w:rPr>
                    <w:t xml:space="preserve">[164]</w:t>
                  </w:r>
                  <w:r>
                    <w:t xml:space="preserve">    Definition of "complainant" under the </w:t>
                  </w:r>
                  <w:r>
                    <w:t xml:space="preserve">PFH Act</w:t>
                  </w:r>
                  <w:r>
                    <w:t xml:space="preserve">.</w:t>
                  </w:r>
                </w:p>
                <w:p>
                  <w:pPr>
                    <w:pStyle w:val="BodyText"/>
                  </w:pPr>
                  <w:r>
                    <w:rPr>
                      <w:color w:val="000000"/>
                      <w:vertAlign w:val="superscript"/>
                    </w:rPr>
                    <w:t xml:space="preserve">[165]</w:t>
                  </w:r>
                  <w:r>
                    <w:t xml:space="preserve">    Section 10(1) of the PFH Act.</w:t>
                  </w:r>
                </w:p>
                <w:p>
                  <w:pPr>
                    <w:pStyle w:val="BodyText"/>
                  </w:pPr>
                  <w:r>
                    <w:rPr>
                      <w:color w:val="000000"/>
                      <w:vertAlign w:val="superscript"/>
                    </w:rPr>
                    <w:t xml:space="preserve">[166]</w:t>
                  </w:r>
                  <w:r>
                    <w:t xml:space="preserve">    Section 10(2) of the PFH Act.</w:t>
                  </w:r>
                </w:p>
                <w:p>
                  <w:pPr>
                    <w:pStyle w:val="BodyText"/>
                  </w:pPr>
                  <w:r>
                    <w:rPr>
                      <w:color w:val="000000"/>
                      <w:vertAlign w:val="superscript"/>
                    </w:rPr>
                    <w:t xml:space="preserve">[167]</w:t>
                  </w:r>
                  <w:r>
                    <w:t xml:space="preserve">    Section 10(3) of the PFH Act.</w:t>
                  </w:r>
                </w:p>
                <w:p>
                  <w:pPr>
                    <w:pStyle w:val="BodyText"/>
                  </w:pPr>
                  <w:r>
                    <w:rPr>
                      <w:color w:val="000000"/>
                      <w:vertAlign w:val="superscript"/>
                    </w:rPr>
                    <w:t xml:space="preserve">[168]</w:t>
                  </w:r>
                  <w:r>
                    <w:t xml:space="preserve">    Section 2(2) of Schedule 8: Code of Good Practice: Dismissal of the Labour Relations Act, 66 of 1995.</w:t>
                  </w:r>
                </w:p>
                <w:p>
                  <w:pPr>
                    <w:pStyle w:val="BodyText"/>
                  </w:pPr>
                  <w:r>
                    <w:rPr>
                      <w:color w:val="000000"/>
                      <w:vertAlign w:val="superscript"/>
                    </w:rPr>
                    <w:t xml:space="preserve">[169]</w:t>
                  </w:r>
                  <w:r>
                    <w:t xml:space="preserve">    Section 2(4) of Schedule 8: Code of Good Practice: Dismissal of the Labour Relations Act, 66 of 1995.</w:t>
                  </w:r>
                </w:p>
                <w:p>
                  <w:pPr>
                    <w:pStyle w:val="BodyText"/>
                  </w:pPr>
                  <w:r>
                    <w:rPr>
                      <w:color w:val="000000"/>
                      <w:vertAlign w:val="superscript"/>
                    </w:rPr>
                    <w:t xml:space="preserve">[170]</w:t>
                  </w:r>
                  <w:r>
                    <w:t xml:space="preserve">    Section 7(a) of Schedule 8: Code of Good Practice: Dismissal of the Labour Relations Act, 66 of 1995.</w:t>
                  </w:r>
                </w:p>
                <w:p>
                  <w:pPr>
                    <w:pStyle w:val="BodyText"/>
                  </w:pPr>
                  <w:r>
                    <w:rPr>
                      <w:color w:val="000000"/>
                      <w:vertAlign w:val="superscript"/>
                    </w:rPr>
                    <w:t xml:space="preserve">[171]</w:t>
                  </w:r>
                  <w:r>
                    <w:t xml:space="preserve">    Section 7(b) of Schedule 8: Code of Good Practice: Dismissal of the Labour Relations Act, 66 of 1995.</w:t>
                  </w:r>
                </w:p>
                <w:p>
                  <w:pPr>
                    <w:pStyle w:val="BodyText"/>
                  </w:pPr>
                  <w:r>
                    <w:rPr>
                      <w:color w:val="000000"/>
                      <w:vertAlign w:val="superscript"/>
                    </w:rPr>
                    <w:t xml:space="preserve">[172]</w:t>
                  </w:r>
                  <w:r>
                    <w:t xml:space="preserve">    Section 20 of the Basic Conditions of Employment Act 75 of 1997.</w:t>
                  </w:r>
                </w:p>
                <w:p>
                  <w:pPr>
                    <w:pStyle w:val="BodyText"/>
                  </w:pPr>
                  <w:r>
                    <w:rPr>
                      <w:color w:val="000000"/>
                      <w:vertAlign w:val="superscript"/>
                    </w:rPr>
                    <w:t xml:space="preserve">[173]</w:t>
                  </w:r>
                  <w:r>
                    <w:t xml:space="preserve">    Section 27 of the Basic Conditions of Employment Act 75 of 1997.</w:t>
                  </w:r>
                </w:p>
                <w:p>
                  <w:pPr>
                    <w:pStyle w:val="BodyText"/>
                  </w:pPr>
                  <w:r>
                    <w:rPr>
                      <w:color w:val="000000"/>
                      <w:vertAlign w:val="superscript"/>
                    </w:rPr>
                    <w:t xml:space="preserve">[174]</w:t>
                  </w:r>
                  <w:r>
                    <w:t xml:space="preserve">    Article 10(f) of the International Labour Organization's Convention on Violence and Harassment.</w:t>
                  </w:r>
                </w:p>
                <w:p>
                  <w:pPr>
                    <w:pStyle w:val="BodyText"/>
                  </w:pPr>
                  <w:r>
                    <w:rPr>
                      <w:color w:val="000000"/>
                      <w:vertAlign w:val="superscript"/>
                    </w:rPr>
                    <w:t xml:space="preserve">[175]</w:t>
                  </w:r>
                  <w:r>
                    <w:t xml:space="preserve">    130 of 1998.</w:t>
                  </w:r>
                </w:p>
                <w:p>
                  <w:pPr>
                    <w:pStyle w:val="BodyText"/>
                  </w:pPr>
                  <w:r>
                    <w:rPr>
                      <w:color w:val="000000"/>
                      <w:vertAlign w:val="superscript"/>
                    </w:rPr>
                    <w:t xml:space="preserve">[176]</w:t>
                  </w:r>
                  <w:r>
                    <w:t xml:space="preserve">    Section 4 of the Refugees Act 130 of 1998.</w:t>
                  </w:r>
                </w:p>
                <w:p>
                  <w:pPr>
                    <w:pStyle w:val="BodyText"/>
                  </w:pPr>
                  <w:r>
                    <w:rPr>
                      <w:color w:val="000000"/>
                      <w:vertAlign w:val="superscript"/>
                    </w:rPr>
                    <w:t xml:space="preserve">[177]</w:t>
                  </w:r>
                  <w:r>
                    <w:t xml:space="preserve">    Criminal Law Amendment Act.</w:t>
                  </w:r>
                </w:p>
                <w:p>
                  <w:pPr>
                    <w:pStyle w:val="BodyText"/>
                  </w:pPr>
                  <w:r>
                    <w:rPr>
                      <w:color w:val="000000"/>
                      <w:vertAlign w:val="superscript"/>
                    </w:rPr>
                    <w:t xml:space="preserve">[178]</w:t>
                  </w:r>
                  <w:r>
                    <w:t xml:space="preserve">    Refugee Act 130 of 1998.</w:t>
                  </w:r>
                </w:p>
                <w:p>
                  <w:pPr>
                    <w:pStyle w:val="BodyText"/>
                  </w:pPr>
                  <w:r>
                    <w:rPr>
                      <w:color w:val="000000"/>
                      <w:vertAlign w:val="superscript"/>
                    </w:rPr>
                    <w:t xml:space="preserve">[179]</w:t>
                  </w:r>
                  <w:r>
                    <w:t xml:space="preserve">    Military Discipline Bill.</w:t>
                  </w:r>
                </w:p>
                <w:p>
                  <w:pPr>
                    <w:pStyle w:val="BodyText"/>
                  </w:pPr>
                  <w:r>
                    <w:rPr>
                      <w:color w:val="000000"/>
                      <w:vertAlign w:val="superscript"/>
                    </w:rPr>
                    <w:t xml:space="preserve">[180]</w:t>
                  </w:r>
                  <w:r>
                    <w:t xml:space="preserve">    National Prosecuting Authority Act 32 of 1998.</w:t>
                  </w:r>
                </w:p>
                <w:p>
                  <w:pPr>
                    <w:pStyle w:val="BodyText"/>
                  </w:pPr>
                  <w:r>
                    <w:rPr>
                      <w:color w:val="000000"/>
                      <w:vertAlign w:val="superscript"/>
                    </w:rPr>
                    <w:t xml:space="preserve">[181]</w:t>
                  </w:r>
                  <w:r>
                    <w:t xml:space="preserve">    Section 1(2) of the Children's Act, 2005.</w:t>
                  </w:r>
                </w:p>
                <w:p>
                  <w:pPr>
                    <w:pStyle w:val="BodyText"/>
                  </w:pPr>
                  <w:r>
                    <w:rPr>
                      <w:color w:val="000000"/>
                      <w:vertAlign w:val="superscript"/>
                    </w:rPr>
                    <w:t xml:space="preserve">[182]</w:t>
                  </w:r>
                  <w:r>
                    <w:t xml:space="preserve">    Section 1(3) of the English Children Act, 1989 and Sections 60CC(2) and (3) of the Australian Family Law Act, 1975.</w:t>
                  </w:r>
                </w:p>
                <w:p>
                  <w:pPr>
                    <w:pStyle w:val="BodyText"/>
                  </w:pPr>
                  <w:r>
                    <w:rPr>
                      <w:color w:val="000000"/>
                      <w:vertAlign w:val="superscript"/>
                    </w:rPr>
                    <w:t xml:space="preserve">[183]</w:t>
                  </w:r>
                  <w:r>
                    <w:t xml:space="preserve">    Section 9 of the Children's Act.</w:t>
                  </w:r>
                </w:p>
                <w:p>
                  <w:pPr>
                    <w:pStyle w:val="BodyText"/>
                  </w:pPr>
                  <w:r>
                    <w:rPr>
                      <w:color w:val="000000"/>
                      <w:vertAlign w:val="superscript"/>
                    </w:rPr>
                    <w:t xml:space="preserve">[184]</w:t>
                  </w:r>
                  <w:r>
                    <w:t xml:space="preserve">    Section 7(1)(l) of the Children's Act.</w:t>
                  </w:r>
                </w:p>
                <w:p>
                  <w:pPr>
                    <w:pStyle w:val="BodyText"/>
                  </w:pPr>
                  <w:r>
                    <w:rPr>
                      <w:color w:val="000000"/>
                      <w:vertAlign w:val="superscript"/>
                    </w:rPr>
                    <w:t xml:space="preserve">[185]</w:t>
                  </w:r>
                  <w:r>
                    <w:rPr>
                      <w:i/>
                    </w:rPr>
                    <w:t xml:space="preserve">    P v P 2</w:t>
                  </w:r>
                  <w:r>
                    <w:t xml:space="preserve">007 (5) SA 94 (SCA) at paragraph 14.</w:t>
                  </w:r>
                </w:p>
                <w:p>
                  <w:pPr>
                    <w:pStyle w:val="BodyText"/>
                  </w:pPr>
                  <w:r>
                    <w:rPr>
                      <w:color w:val="000000"/>
                      <w:vertAlign w:val="superscript"/>
                    </w:rPr>
                    <w:t xml:space="preserve">[186]</w:t>
                  </w:r>
                  <w:r>
                    <w:t xml:space="preserve">    Section 7 of the Children's Act.</w:t>
                  </w:r>
                </w:p>
                <w:p>
                  <w:pPr>
                    <w:pStyle w:val="BodyText"/>
                  </w:pPr>
                  <w:r>
                    <w:rPr>
                      <w:color w:val="000000"/>
                      <w:vertAlign w:val="superscript"/>
                    </w:rPr>
                    <w:t xml:space="preserve">[187]</w:t>
                  </w:r>
                  <w:r>
                    <w:t xml:space="preserve">    Section 7(1)(g) of the DVA.</w:t>
                  </w:r>
                </w:p>
                <w:p>
                  <w:pPr>
                    <w:pStyle w:val="BodyText"/>
                  </w:pPr>
                  <w:r>
                    <w:rPr>
                      <w:color w:val="000000"/>
                      <w:vertAlign w:val="superscript"/>
                    </w:rPr>
                    <w:t xml:space="preserve">[188]</w:t>
                  </w:r>
                  <w:r>
                    <w:t xml:space="preserve">    Section 7(1)(l) of the Children's Act, 2005.</w:t>
                  </w:r>
                </w:p>
                <w:p>
                  <w:pPr>
                    <w:pStyle w:val="BodyText"/>
                  </w:pPr>
                  <w:r>
                    <w:rPr>
                      <w:color w:val="000000"/>
                      <w:vertAlign w:val="superscript"/>
                    </w:rPr>
                    <w:t xml:space="preserve">[189]</w:t>
                  </w:r>
                  <w:r>
                    <w:t xml:space="preserve">    Section 7(6) of the DVA, 1998.</w:t>
                  </w:r>
                </w:p>
                <w:p>
                  <w:pPr>
                    <w:pStyle w:val="BodyText"/>
                  </w:pPr>
                  <w:r>
                    <w:rPr>
                      <w:color w:val="000000"/>
                      <w:vertAlign w:val="superscript"/>
                    </w:rPr>
                    <w:t xml:space="preserve">[190]</w:t>
                  </w:r>
                  <w:r>
                    <w:t xml:space="preserve">    Article 9 of the Convention on the Rights of the Child.</w:t>
                  </w:r>
                </w:p>
                <w:p>
                  <w:pPr>
                    <w:pStyle w:val="BodyText"/>
                  </w:pPr>
                  <w:r>
                    <w:rPr>
                      <w:color w:val="000000"/>
                      <w:vertAlign w:val="superscript"/>
                    </w:rPr>
                    <w:t xml:space="preserve">[191]</w:t>
                  </w:r>
                  <w:r>
                    <w:t xml:space="preserve">    Article 19 of the Convention on the Rights of the Child.</w:t>
                  </w:r>
                </w:p>
                <w:p>
                  <w:pPr>
                    <w:pStyle w:val="BodyText"/>
                  </w:pPr>
                  <w:r>
                    <w:rPr>
                      <w:color w:val="000000"/>
                      <w:vertAlign w:val="superscript"/>
                    </w:rPr>
                    <w:t xml:space="preserve">[192]</w:t>
                  </w:r>
                  <w:r>
                    <w:t xml:space="preserve">    Section 10 of the Children's Act.</w:t>
                  </w:r>
                </w:p>
                <w:p>
                  <w:pPr>
                    <w:pStyle w:val="BodyText"/>
                  </w:pPr>
                  <w:r>
                    <w:rPr>
                      <w:color w:val="000000"/>
                      <w:vertAlign w:val="superscript"/>
                    </w:rPr>
                    <w:t xml:space="preserve">[193]</w:t>
                  </w:r>
                  <w:r>
                    <w:t xml:space="preserve">    Section 7(l) of the Children's Act, 2005.</w:t>
                  </w:r>
                </w:p>
                <w:p>
                  <w:pPr>
                    <w:pStyle w:val="BodyText"/>
                  </w:pPr>
                  <w:r>
                    <w:rPr>
                      <w:color w:val="000000"/>
                      <w:vertAlign w:val="superscript"/>
                    </w:rPr>
                    <w:t xml:space="preserve">[194]</w:t>
                  </w:r>
                  <w:r>
                    <w:t xml:space="preserve">    Section 26(1) of the Constitution.</w:t>
                  </w:r>
                </w:p>
                <w:p>
                  <w:pPr>
                    <w:pStyle w:val="BodyText"/>
                  </w:pPr>
                  <w:r>
                    <w:rPr>
                      <w:color w:val="000000"/>
                      <w:vertAlign w:val="superscript"/>
                    </w:rPr>
                    <w:t xml:space="preserve">[195]</w:t>
                  </w:r>
                  <w:r>
                    <w:t xml:space="preserve">    Section 26(3) of the Constitution.</w:t>
                  </w:r>
                </w:p>
                <w:p>
                  <w:pPr>
                    <w:pStyle w:val="BodyText"/>
                  </w:pPr>
                  <w:r>
                    <w:rPr>
                      <w:color w:val="000000"/>
                      <w:vertAlign w:val="superscript"/>
                    </w:rPr>
                    <w:t xml:space="preserve">[196]</w:t>
                  </w:r>
                  <w:r>
                    <w:t xml:space="preserve">    19 of 1998.</w:t>
                  </w:r>
                </w:p>
                <w:p>
                  <w:pPr>
                    <w:pStyle w:val="BodyText"/>
                  </w:pPr>
                  <w:r>
                    <w:rPr>
                      <w:color w:val="000000"/>
                      <w:vertAlign w:val="superscript"/>
                    </w:rPr>
                    <w:t xml:space="preserve">[197]</w:t>
                  </w:r>
                  <w:r>
                    <w:t xml:space="preserve">    Section 4 of the PIE Act.</w:t>
                  </w:r>
                </w:p>
                <w:p>
                  <w:pPr>
                    <w:pStyle w:val="BodyText"/>
                  </w:pPr>
                  <w:r>
                    <w:rPr>
                      <w:color w:val="000000"/>
                      <w:vertAlign w:val="superscript"/>
                    </w:rPr>
                    <w:t xml:space="preserve">[198]</w:t>
                  </w:r>
                  <w:r>
                    <w:t xml:space="preserve">    Section 4(7) of the PIE Act.</w:t>
                  </w:r>
                </w:p>
                <w:p>
                  <w:pPr>
                    <w:pStyle w:val="BodyText"/>
                  </w:pPr>
                  <w:r>
                    <w:rPr>
                      <w:color w:val="000000"/>
                      <w:vertAlign w:val="superscript"/>
                    </w:rPr>
                    <w:t xml:space="preserve">[199]</w:t>
                  </w:r>
                  <w:r>
                    <w:t xml:space="preserve">    Section 4 of the PIE Act.</w:t>
                  </w:r>
                </w:p>
                <w:p>
                  <w:pPr>
                    <w:pStyle w:val="BodyText"/>
                  </w:pPr>
                  <w:r>
                    <w:rPr>
                      <w:color w:val="000000"/>
                      <w:vertAlign w:val="superscript"/>
                    </w:rPr>
                    <w:t xml:space="preserve">[200]</w:t>
                  </w:r>
                  <w:r>
                    <w:t xml:space="preserve">    Section 4 of the PIE Act.</w:t>
                  </w:r>
                </w:p>
                <w:p>
                  <w:pPr>
                    <w:pStyle w:val="BodyText"/>
                  </w:pPr>
                  <w:r>
                    <w:rPr>
                      <w:color w:val="000000"/>
                      <w:vertAlign w:val="superscript"/>
                    </w:rPr>
                    <w:t xml:space="preserve">[201]</w:t>
                  </w:r>
                  <w:r>
                    <w:t xml:space="preserve">    Article 4 of the Maputo Protocol.</w:t>
                  </w:r>
                </w:p>
                <w:p>
                  <w:pPr>
                    <w:pStyle w:val="BodyText"/>
                  </w:pPr>
                  <w:r>
                    <w:rPr>
                      <w:color w:val="000000"/>
                      <w:vertAlign w:val="superscript"/>
                    </w:rPr>
                    <w:t xml:space="preserve">[202]</w:t>
                  </w:r>
                  <w:r>
                    <w:t xml:space="preserve">    Section 14(2)(b) of the Consumer Protection Act.</w:t>
                  </w:r>
                </w:p>
                <w:p>
                  <w:pPr>
                    <w:pStyle w:val="BodyText"/>
                  </w:pPr>
                  <w:r>
                    <w:rPr>
                      <w:color w:val="000000"/>
                      <w:vertAlign w:val="superscript"/>
                    </w:rPr>
                    <w:t xml:space="preserve">[203]</w:t>
                  </w:r>
                  <w:r>
                    <w:t xml:space="preserve">    Section 3 of the Consumer Protection Act.</w:t>
                  </w:r>
                </w:p>
                <w:p>
                  <w:pPr>
                    <w:pStyle w:val="BodyText"/>
                  </w:pPr>
                  <w:r>
                    <w:rPr>
                      <w:color w:val="000000"/>
                      <w:vertAlign w:val="superscript"/>
                    </w:rPr>
                    <w:t xml:space="preserve">[204]</w:t>
                  </w:r>
                  <w:r>
                    <w:t xml:space="preserve">    Article 4 of the Maputo Protocol.</w:t>
                  </w:r>
                </w:p>
                <w:p>
                  <w:pPr>
                    <w:pStyle w:val="BodyText"/>
                  </w:pPr>
                  <w:r>
                    <w:rPr>
                      <w:color w:val="000000"/>
                      <w:vertAlign w:val="superscript"/>
                    </w:rPr>
                    <w:t xml:space="preserve">[205]</w:t>
                  </w:r>
                  <w:r>
                    <w:t xml:space="preserve">    Section 7 of the DVA.</w:t>
                  </w:r>
                </w:p>
                <w:p>
                  <w:pPr>
                    <w:pStyle w:val="BodyText"/>
                  </w:pPr>
                  <w:r>
                    <w:rPr>
                      <w:color w:val="000000"/>
                      <w:vertAlign w:val="superscript"/>
                    </w:rPr>
                    <w:t xml:space="preserve">[206]</w:t>
                  </w:r>
                  <w:r>
                    <w:t xml:space="preserve">    Section 7(c) of the DVA.</w:t>
                  </w:r>
                </w:p>
                <w:p>
                  <w:pPr>
                    <w:pStyle w:val="BodyText"/>
                  </w:pPr>
                  <w:r>
                    <w:rPr>
                      <w:color w:val="000000"/>
                      <w:vertAlign w:val="superscript"/>
                    </w:rPr>
                    <w:t xml:space="preserve">[207]</w:t>
                  </w:r>
                  <w:r>
                    <w:t xml:space="preserve">    Section 7(2) of the DVA</w:t>
                  </w:r>
                </w:p>
                <w:p>
                  <w:pPr>
                    <w:pStyle w:val="BodyText"/>
                  </w:pPr>
                  <w:r>
                    <w:rPr>
                      <w:color w:val="000000"/>
                      <w:vertAlign w:val="superscript"/>
                    </w:rPr>
                    <w:t xml:space="preserve">[208]</w:t>
                  </w:r>
                  <w:r>
                    <w:t xml:space="preserve">    </w:t>
                  </w:r>
                  <w:hyperlink w:history="true" r:id="R9514638492db4597">
                    <w:r>
                      <w:rPr>
                        <w:rStyle w:val="Hyperlink"/>
                      </w:rPr>
                      <w:t xml:space="preserve">https://www.sahrc.org.za/home/21/files/SAHRC%20GBV%20Research%20Brief%20Publication.pdf</w:t>
                    </w:r>
                  </w:hyperlink>
                </w:p>
                <w:p>
                  <w:pPr>
                    <w:pStyle w:val="BodyText"/>
                  </w:pPr>
                  <w:r>
                    <w:rPr>
                      <w:color w:val="000000"/>
                      <w:vertAlign w:val="superscript"/>
                    </w:rPr>
                    <w:t xml:space="preserve">[209]</w:t>
                  </w:r>
                  <w:r>
                    <w:t xml:space="preserve">    Refer to: </w:t>
                  </w:r>
                  <w:hyperlink w:history="true" r:id="Rb7fc909dd1394421">
                    <w:r>
                      <w:rPr>
                        <w:rStyle w:val="Hyperlink"/>
                      </w:rPr>
                      <w:t xml:space="preserve">https://za.boell.org/sites/default/files/uploads/2013/10/criminaljusticeresponses-assessingimplimentationofdvaingauteng.pdf</w:t>
                    </w:r>
                  </w:hyperlink>
                </w:p>
                <w:p>
                  <w:pPr>
                    <w:pStyle w:val="BodyText"/>
                  </w:pPr>
                  <w:r>
                    <w:rPr>
                      <w:color w:val="000000"/>
                      <w:vertAlign w:val="superscript"/>
                    </w:rPr>
                    <w:t xml:space="preserve">[210]</w:t>
                  </w:r>
                  <w:r>
                    <w:t xml:space="preserve">    Article 4(b) to the Maputo Protocol.</w:t>
                  </w:r>
                </w:p>
                <w:p>
                  <w:pPr>
                    <w:pStyle w:val="BodyText"/>
                  </w:pPr>
                  <w:r>
                    <w:rPr>
                      <w:color w:val="000000"/>
                      <w:vertAlign w:val="superscript"/>
                    </w:rPr>
                    <w:t xml:space="preserve">[211]</w:t>
                  </w:r>
                  <w:r>
                    <w:t xml:space="preserve">    See for example Articles 55 and 56 of the African (Banjul) Charter on Human and Peoples' Rights.</w:t>
                  </w:r>
                </w:p>
                <w:p>
                  <w:pPr>
                    <w:pStyle w:val="BodyText"/>
                  </w:pPr>
                  <w:r>
                    <w:rPr>
                      <w:vertAlign w:val="superscript"/>
                    </w:rPr>
                    <w:t xml:space="preserve">[212]</w:t>
                  </w:r>
                  <w:r>
                    <w:t xml:space="preserve">           See for example Article 56 of the African (Banjul) Charter on Human and Peoples' Rights.</w:t>
                  </w:r>
                </w:p>
              </w:sdtContent>
            </w:sdt>
          </w:sdtContent>
        </w:sdt>
      </w:sdtContent>
    </w:sdt>
    <w:p>
      <w:pPr>
        <w:pStyle w:val="Disclaimer"/>
      </w:pPr>
      <w:r>
        <w:t xml:space="preserve"> </w:t>
      </w:r>
    </w:p>
    <w:p>
      <w:pPr>
        <w:pStyle w:val="Disclaimer"/>
      </w:pPr>
      <w:r>
        <w:t xml:space="preserve">©Copyright © 2025 Baker &amp; McKenzie. All rights reserved. </w:t>
      </w:r>
      <w:r>
        <w:rPr>
          <w:b/>
        </w:rPr>
        <w:t xml:space="preserve">Ownership</w:t>
      </w:r>
      <w:r>
        <w:t xml:space="preserve">: This documentation and content (Content) is a proprietary resource owned exclusively by Baker McKenzie (meaning Baker &amp; McKenzie International and its member firms). The Content is protected under international copyright conventions. Use of this Content does not of itself create a contractual relationship, nor any attorney/client relationship, between Baker McKenzie and any person.</w:t>
      </w:r>
      <w:r>
        <w:rPr>
          <w:b/>
        </w:rPr>
        <w:t xml:space="preserve"> Non-reliance and exclusion</w:t>
      </w:r>
      <w:r>
        <w:t xml:space="preserve">: All Content is for informational purposes only and may not reflect the most current legal and regulatory developments. All summaries of the laws, regulations and practice are subject to change. The Content is not offered as legal or professional advice for any specific matter. It is not intended to be a substitute for reference to (and compliance with) the detailed provisions of applicable laws, rules, regulations or forms. Legal advice should always be sought before taking any action or refraining from taking any action based on any Content. Baker McKenzie and the editors and the contributing authors do not guarantee the accuracy of the Content and expressly disclaim any and all liability to any person in respect of the consequences of anything done or permitted to be done or omitted to be done wholly or partly in reliance upon the whole or any part of the Content. The Content may contain links to external websites and external websites may link to the Content. Baker McKenzie is not responsible for the content or operation of any such external sites and disclaims all liability, howsoever occurring, in respect of the content or operation of any such external websites. </w:t>
      </w:r>
      <w:r>
        <w:rPr>
          <w:b/>
        </w:rPr>
        <w:t xml:space="preserve">Attorney Advertising</w:t>
      </w:r>
      <w:r>
        <w:t xml:space="preserve">: This Content may qualify as “Attorney Advertising” requiring notice in some jurisdictions. To the extent that this Content may qualify as Attorney Advertising, PRIOR RESULTS DO NOT GUARANTEE A SIMILAR OUTCOME. </w:t>
      </w:r>
      <w:r>
        <w:rPr>
          <w:b/>
        </w:rPr>
        <w:t xml:space="preserve">Reproduction</w:t>
      </w:r>
      <w:r>
        <w:t xml:space="preserve">: Reproduction or copying of the Content on this Site without express written authorization is strictly prohibited.</w:t>
      </w:r>
    </w:p>
    <w:p w:rsidR="00747611" w:rsidP="002537D8" w:rsidRDefault="00747611" w14:paraId="3CC4838F" w14:textId="2D0C5289">
      <w:pPr>
        <w:pStyle w:val="Heading1"/>
      </w:pPr>
    </w:p>
    <w:sectPr w:rsidR="00747611" w:rsidSect="003A3B65">
      <w:headerReference w:type="even" r:id="rId13"/>
      <w:headerReference w:type="default" r:id="rId14"/>
      <w:footerReference w:type="even" r:id="rId15"/>
      <w:footerReference w:type="default" r:id="rId16"/>
      <w:headerReference w:type="first" r:id="rId17"/>
      <w:footerReference w:type="first" r:id="rId18"/>
      <w:type w:val="continuous"/>
      <w:pgSz w:w="12240" w:h="15840"/>
      <w:pgMar w:top="1440" w:right="1800" w:bottom="1440" w:left="1440" w:header="1152" w:footer="432"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EF7766" w:rsidP="008407E2" w:rsidRDefault="00EF7766" w14:paraId="76822A5A" w14:textId="77777777">
      <w:pPr>
        <w:spacing w:after="0" w:line="240" w:lineRule="auto"/>
      </w:pPr>
      <w:r>
        <w:separator/>
      </w:r>
    </w:p>
  </w:endnote>
  <w:endnote w:type="continuationSeparator" w:id="0">
    <w:p w:rsidR="00EF7766" w:rsidP="008407E2" w:rsidRDefault="00EF7766" w14:paraId="5A23F510"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Bold">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652219" w:rsidRDefault="00652219" w14:paraId="03FC73CB"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8407E2" w:rsidP="00CB0368" w:rsidRDefault="006851B1" w14:paraId="1AC669BB" w14:textId="2A698897">
    <w:pPr>
      <w:pStyle w:val="Footertext"/>
      <w:spacing w:after="120"/>
    </w:pPr>
    <w:r>
      <w:t>www.</w:t>
    </w:r>
    <w:r w:rsidR="00507F6E">
      <w:t>bakermckenzie.com</w:t>
    </w:r>
    <w:r w:rsidR="00EA11E4">
      <w:tab/>
      <w:t xml:space="preserve">Copyright </w:t>
    </w:r>
    <w:r w:rsidR="00EA11E4">
      <w:fldChar w:fldCharType="begin"/>
    </w:r>
    <w:r w:rsidR="00EA11E4">
      <w:instrText xml:space="preserve"> DATE  \@ "yyyy"  \* MERGEFORMAT </w:instrText>
    </w:r>
    <w:r w:rsidR="00EA11E4">
      <w:fldChar w:fldCharType="separate"/>
    </w:r>
    <w:r w:rsidR="00652219">
      <w:rPr>
        <w:noProof/>
      </w:rPr>
      <w:t>2021</w:t>
    </w:r>
    <w:r w:rsidR="00EA11E4">
      <w:fldChar w:fldCharType="end"/>
    </w:r>
    <w:r w:rsidR="001650B6">
      <w:tab/>
    </w:r>
    <w:r w:rsidR="001650B6">
      <w:fldChar w:fldCharType="begin"/>
    </w:r>
    <w:r w:rsidR="001650B6">
      <w:instrText xml:space="preserve"> PAGE  \* Arabic  \* MERGEFORMAT </w:instrText>
    </w:r>
    <w:r w:rsidR="001650B6">
      <w:fldChar w:fldCharType="separate"/>
    </w:r>
    <w:r w:rsidR="001650B6">
      <w:rPr>
        <w:noProof/>
      </w:rPr>
      <w:t>2</w:t>
    </w:r>
    <w:r w:rsidR="001650B6">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7B7254" w:rsidP="0056371E" w:rsidRDefault="008D6B08" w14:paraId="03E16594" w14:textId="02BD64A9">
    <w:pPr>
      <w:pStyle w:val="Footertext"/>
      <w:spacing w:after="120"/>
    </w:pPr>
    <w:r w:rsidRPr="008D6B08">
      <w:t>https://resourcehub.bakermckenzie.com/en/resources/fighting-domestic-violence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EF7766" w:rsidP="008407E2" w:rsidRDefault="00EF7766" w14:paraId="628901B0" w14:textId="77777777">
      <w:pPr>
        <w:spacing w:after="0" w:line="240" w:lineRule="auto"/>
      </w:pPr>
      <w:r>
        <w:separator/>
      </w:r>
    </w:p>
  </w:footnote>
  <w:footnote w:type="continuationSeparator" w:id="0">
    <w:p w:rsidR="00EF7766" w:rsidP="008407E2" w:rsidRDefault="00EF7766" w14:paraId="0D741EDD"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652219" w:rsidRDefault="00652219" w14:paraId="3262B14C" w14:textId="77777777">
    <w:pPr>
      <w:pStyle w:val="Header"/>
    </w:pPr>
  </w:p>
</w:hdr>
</file>

<file path=word/header2.xml><?xml version="1.0" encoding="utf-8"?>
<w:hdr xmlns:a="http://schemas.openxmlformats.org/drawingml/2006/main" xmlns:pic="http://schemas.openxmlformats.org/drawingml/2006/picture" xmlns:a14="http://schemas.microsoft.com/office/drawing/2010/main" xmlns:asvg="http://schemas.microsoft.com/office/drawing/2016/SVG/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8407E2" w:rsidP="00507F6E" w:rsidRDefault="002D177D" w14:paraId="702939D2" w14:textId="77777777">
    <w:pPr>
      <w:pStyle w:val="Header"/>
      <w:spacing w:after="600"/>
    </w:pPr>
    <w:r>
      <w:rPr>
        <w:noProof/>
      </w:rPr>
      <w:drawing>
        <wp:inline distT="0" distB="0" distL="0" distR="0" wp14:anchorId="01D4742B" wp14:editId="4F5E4990">
          <wp:extent cx="1191555" cy="417044"/>
          <wp:effectExtent l="0" t="0" r="0" b="2540"/>
          <wp:docPr id="1" name="Graphic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phic 1"/>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191555" cy="417044"/>
                  </a:xfrm>
                  <a:prstGeom prst="rect">
                    <a:avLst/>
                  </a:prstGeom>
                </pic:spPr>
              </pic:pic>
            </a:graphicData>
          </a:graphic>
        </wp:inline>
      </w:drawing>
    </w:r>
  </w:p>
</w:hdr>
</file>

<file path=word/header3.xml><?xml version="1.0" encoding="utf-8"?>
<w:hdr xmlns:a="http://schemas.openxmlformats.org/drawingml/2006/main" xmlns:pic="http://schemas.openxmlformats.org/drawingml/2006/picture" xmlns:a14="http://schemas.microsoft.com/office/drawing/2010/main" xmlns:asvg="http://schemas.microsoft.com/office/drawing/2016/SVG/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57C25" w:rsidP="00DD06B3" w:rsidRDefault="00DD06B3" w14:paraId="60E40330" w14:textId="1518E37E">
    <w:pPr>
      <w:pStyle w:val="Header"/>
      <w:spacing w:after="600"/>
    </w:pPr>
    <w:r>
      <w:rPr>
        <w:noProof/>
      </w:rPr>
      <w:drawing>
        <wp:inline distT="0" distB="0" distL="0" distR="0" wp14:anchorId="76DC22A6" wp14:editId="10CE1214">
          <wp:extent cx="1191555" cy="417044"/>
          <wp:effectExtent l="0" t="0" r="0" b="2540"/>
          <wp:docPr id="2" name="Graphic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phic 2"/>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191555" cy="417044"/>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6B37CD"/>
    <w:multiLevelType w:val="hybridMultilevel"/>
    <w:tmpl w:val="2D7E9C06"/>
    <w:lvl w:ilvl="0" w:tplc="61462266">
      <w:numFmt w:val="bullet"/>
      <w:lvlText w:val="-"/>
      <w:lvlJc w:val="left"/>
      <w:pPr>
        <w:ind w:left="720" w:hanging="360"/>
      </w:pPr>
      <w:rPr>
        <w:rFonts w:hint="default" w:ascii="Arial" w:hAnsi="Arial" w:cs="Arial" w:eastAsiaTheme="minorHAns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 w15:restartNumberingAfterBreak="0">
    <w:nsid w:val="11D82F34"/>
    <w:multiLevelType w:val="hybridMultilevel"/>
    <w:tmpl w:val="993E4862"/>
    <w:lvl w:ilvl="0" w:tplc="C51C6E72">
      <w:numFmt w:val="bullet"/>
      <w:lvlText w:val="-"/>
      <w:lvlJc w:val="left"/>
      <w:pPr>
        <w:ind w:left="720" w:hanging="360"/>
      </w:pPr>
      <w:rPr>
        <w:rFonts w:hint="default" w:ascii="Arial" w:hAnsi="Arial" w:cs="Arial" w:eastAsiaTheme="minorHAns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 w15:restartNumberingAfterBreak="0">
    <w:nsid w:val="28295921"/>
    <w:multiLevelType w:val="multilevel"/>
    <w:tmpl w:val="1124EE02"/>
    <w:numStyleLink w:val="1aiA"/>
  </w:abstractNum>
  <w:abstractNum w:abstractNumId="3" w15:restartNumberingAfterBreak="0">
    <w:nsid w:val="311524A7"/>
    <w:multiLevelType w:val="multilevel"/>
    <w:tmpl w:val="1124EE02"/>
    <w:numStyleLink w:val="1aiA"/>
  </w:abstractNum>
  <w:abstractNum w:abstractNumId="4" w15:restartNumberingAfterBreak="0">
    <w:nsid w:val="357B74DD"/>
    <w:multiLevelType w:val="multilevel"/>
    <w:tmpl w:val="1124EE02"/>
    <w:styleLink w:val="1aiA"/>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upperLetter"/>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15:restartNumberingAfterBreak="0">
    <w:nsid w:val="504C34DA"/>
    <w:multiLevelType w:val="hybridMultilevel"/>
    <w:tmpl w:val="E536E77A"/>
    <w:lvl w:ilvl="0" w:tplc="28E67952">
      <w:numFmt w:val="bullet"/>
      <w:lvlText w:val="-"/>
      <w:lvlJc w:val="left"/>
      <w:pPr>
        <w:ind w:left="410" w:hanging="360"/>
      </w:pPr>
      <w:rPr>
        <w:rFonts w:hint="default" w:ascii="Calibri" w:hAnsi="Calibri" w:cs="Calibri" w:eastAsiaTheme="minorHAnsi"/>
      </w:rPr>
    </w:lvl>
    <w:lvl w:ilvl="1" w:tplc="04090003" w:tentative="1">
      <w:start w:val="1"/>
      <w:numFmt w:val="bullet"/>
      <w:lvlText w:val="o"/>
      <w:lvlJc w:val="left"/>
      <w:pPr>
        <w:ind w:left="1130" w:hanging="360"/>
      </w:pPr>
      <w:rPr>
        <w:rFonts w:hint="default" w:ascii="Courier New" w:hAnsi="Courier New" w:cs="Courier New"/>
      </w:rPr>
    </w:lvl>
    <w:lvl w:ilvl="2" w:tplc="04090005" w:tentative="1">
      <w:start w:val="1"/>
      <w:numFmt w:val="bullet"/>
      <w:lvlText w:val=""/>
      <w:lvlJc w:val="left"/>
      <w:pPr>
        <w:ind w:left="1850" w:hanging="360"/>
      </w:pPr>
      <w:rPr>
        <w:rFonts w:hint="default" w:ascii="Wingdings" w:hAnsi="Wingdings"/>
      </w:rPr>
    </w:lvl>
    <w:lvl w:ilvl="3" w:tplc="04090001" w:tentative="1">
      <w:start w:val="1"/>
      <w:numFmt w:val="bullet"/>
      <w:lvlText w:val=""/>
      <w:lvlJc w:val="left"/>
      <w:pPr>
        <w:ind w:left="2570" w:hanging="360"/>
      </w:pPr>
      <w:rPr>
        <w:rFonts w:hint="default" w:ascii="Symbol" w:hAnsi="Symbol"/>
      </w:rPr>
    </w:lvl>
    <w:lvl w:ilvl="4" w:tplc="04090003" w:tentative="1">
      <w:start w:val="1"/>
      <w:numFmt w:val="bullet"/>
      <w:lvlText w:val="o"/>
      <w:lvlJc w:val="left"/>
      <w:pPr>
        <w:ind w:left="3290" w:hanging="360"/>
      </w:pPr>
      <w:rPr>
        <w:rFonts w:hint="default" w:ascii="Courier New" w:hAnsi="Courier New" w:cs="Courier New"/>
      </w:rPr>
    </w:lvl>
    <w:lvl w:ilvl="5" w:tplc="04090005" w:tentative="1">
      <w:start w:val="1"/>
      <w:numFmt w:val="bullet"/>
      <w:lvlText w:val=""/>
      <w:lvlJc w:val="left"/>
      <w:pPr>
        <w:ind w:left="4010" w:hanging="360"/>
      </w:pPr>
      <w:rPr>
        <w:rFonts w:hint="default" w:ascii="Wingdings" w:hAnsi="Wingdings"/>
      </w:rPr>
    </w:lvl>
    <w:lvl w:ilvl="6" w:tplc="04090001" w:tentative="1">
      <w:start w:val="1"/>
      <w:numFmt w:val="bullet"/>
      <w:lvlText w:val=""/>
      <w:lvlJc w:val="left"/>
      <w:pPr>
        <w:ind w:left="4730" w:hanging="360"/>
      </w:pPr>
      <w:rPr>
        <w:rFonts w:hint="default" w:ascii="Symbol" w:hAnsi="Symbol"/>
      </w:rPr>
    </w:lvl>
    <w:lvl w:ilvl="7" w:tplc="04090003" w:tentative="1">
      <w:start w:val="1"/>
      <w:numFmt w:val="bullet"/>
      <w:lvlText w:val="o"/>
      <w:lvlJc w:val="left"/>
      <w:pPr>
        <w:ind w:left="5450" w:hanging="360"/>
      </w:pPr>
      <w:rPr>
        <w:rFonts w:hint="default" w:ascii="Courier New" w:hAnsi="Courier New" w:cs="Courier New"/>
      </w:rPr>
    </w:lvl>
    <w:lvl w:ilvl="8" w:tplc="04090005" w:tentative="1">
      <w:start w:val="1"/>
      <w:numFmt w:val="bullet"/>
      <w:lvlText w:val=""/>
      <w:lvlJc w:val="left"/>
      <w:pPr>
        <w:ind w:left="6170" w:hanging="360"/>
      </w:pPr>
      <w:rPr>
        <w:rFonts w:hint="default" w:ascii="Wingdings" w:hAnsi="Wingdings"/>
      </w:rPr>
    </w:lvl>
  </w:abstractNum>
  <w:abstractNum w:abstractNumId="6" w15:restartNumberingAfterBreak="0">
    <w:nsid w:val="6A187578"/>
    <w:multiLevelType w:val="hybridMultilevel"/>
    <w:tmpl w:val="4BF2E3EC"/>
    <w:lvl w:ilvl="0" w:tplc="727A4570">
      <w:numFmt w:val="bullet"/>
      <w:lvlText w:val="-"/>
      <w:lvlJc w:val="left"/>
      <w:pPr>
        <w:ind w:left="720" w:hanging="360"/>
      </w:pPr>
      <w:rPr>
        <w:rFonts w:hint="default" w:ascii="Arial" w:hAnsi="Arial" w:cs="Arial" w:eastAsiaTheme="minorHAns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7" w15:restartNumberingAfterBreak="0">
    <w:nsid w:val="72880D1C"/>
    <w:multiLevelType w:val="hybridMultilevel"/>
    <w:tmpl w:val="F14EC786"/>
    <w:lvl w:ilvl="0" w:tplc="939A22CA">
      <w:numFmt w:val="bullet"/>
      <w:lvlText w:val="-"/>
      <w:lvlJc w:val="left"/>
      <w:pPr>
        <w:ind w:left="720" w:hanging="360"/>
      </w:pPr>
      <w:rPr>
        <w:rFonts w:hint="default" w:ascii="Arial" w:hAnsi="Arial" w:cs="Arial" w:eastAsiaTheme="minorHAns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9">
    <w:multiLevelType w:val="singleLevel"/>
    <w:lvl w:ilvl="0">
      <w:start w:val="1"/>
      <w:numFmt w:val="decimal"/>
      <w:lvlText w:val="%1."/>
      <w:pPr>
        <w:ind w:left="420" w:hanging="360"/>
      </w:pPr>
    </w:lvl>
  </w:abstractNum>
  <w:abstractNum w:abstractNumId="10">
    <w:multiLevelType w:val="singleLevel"/>
    <w:lvl w:ilvl="0">
      <w:numFmt w:val="bullet"/>
      <w:lvlText w:val="•"/>
      <w:pPr>
        <w:ind w:left="420" w:hanging="360"/>
      </w:pPr>
    </w:lvl>
  </w:abstractNum>
  <w:abstractNum w:abstractNumId="11">
    <w:multiLevelType w:val="singleLevel"/>
    <w:lvl w:ilvl="0">
      <w:numFmt w:val="bullet"/>
      <w:lvlText w:val="▪"/>
      <w:pPr>
        <w:ind w:left="420" w:hanging="360"/>
      </w:pPr>
    </w:lvl>
  </w:abstractNum>
  <w:abstractNum w:abstractNumId="12">
    <w:multiLevelType w:val="singleLevel"/>
    <w:lvl w:ilvl="0">
      <w:numFmt w:val="bullet"/>
      <w:lvlText w:val="o"/>
      <w:pPr>
        <w:ind w:left="420" w:hanging="360"/>
      </w:pPr>
    </w:lvl>
  </w:abstractNum>
  <w:abstractNum w:abstractNumId="13">
    <w:multiLevelType w:val="singleLevel"/>
    <w:lvl w:ilvl="0">
      <w:start w:val="1"/>
      <w:numFmt w:val="upperLetter"/>
      <w:lvlText w:val="%1."/>
      <w:pPr>
        <w:ind w:left="420" w:hanging="360"/>
      </w:pPr>
    </w:lvl>
  </w:abstractNum>
  <w:abstractNum w:abstractNumId="14">
    <w:multiLevelType w:val="singleLevel"/>
    <w:lvl w:ilvl="0">
      <w:start w:val="1"/>
      <w:numFmt w:val="lowerLetter"/>
      <w:lvlText w:val="%1."/>
      <w:pPr>
        <w:ind w:left="420" w:hanging="360"/>
      </w:pPr>
    </w:lvl>
  </w:abstractNum>
  <w:abstractNum w:abstractNumId="15">
    <w:multiLevelType w:val="singleLevel"/>
    <w:lvl w:ilvl="0">
      <w:start w:val="1"/>
      <w:numFmt w:val="upperRoman"/>
      <w:lvlText w:val="%1."/>
      <w:pPr>
        <w:ind w:left="420" w:hanging="360"/>
      </w:pPr>
    </w:lvl>
  </w:abstractNum>
  <w:abstractNum w:abstractNumId="16">
    <w:multiLevelType w:val="singleLevel"/>
    <w:lvl w:ilvl="0">
      <w:start w:val="1"/>
      <w:numFmt w:val="lowerRoman"/>
      <w:lvlText w:val="%1."/>
      <w:pPr>
        <w:ind w:left="420" w:hanging="360"/>
      </w:pPr>
    </w:lvl>
  </w:abstractNum>
  <w:abstractNum w:abstractNumId="17">
    <w:multiLevelType w:val="singleLevel"/>
    <w:lvl w:ilvl="0">
      <w:start w:val="1"/>
      <w:numFmt w:val="decimal"/>
      <w:lvlText w:val="%1."/>
      <w:pPr>
        <w:ind w:left="420" w:hanging="360"/>
      </w:pPr>
    </w:lvl>
  </w:abstractNum>
  <w:abstractNum w:abstractNumId="18">
    <w:multiLevelType w:val="singleLevel"/>
    <w:lvl w:ilvl="0">
      <w:numFmt w:val="bullet"/>
      <w:lvlText w:val="•"/>
      <w:pPr>
        <w:ind w:left="420" w:hanging="360"/>
      </w:pPr>
    </w:lvl>
  </w:abstractNum>
  <w:abstractNum w:abstractNumId="19">
    <w:multiLevelType w:val="singleLevel"/>
    <w:lvl w:ilvl="0">
      <w:numFmt w:val="bullet"/>
      <w:lvlText w:val="▪"/>
      <w:pPr>
        <w:ind w:left="420" w:hanging="360"/>
      </w:pPr>
    </w:lvl>
  </w:abstractNum>
  <w:abstractNum w:abstractNumId="20">
    <w:multiLevelType w:val="singleLevel"/>
    <w:lvl w:ilvl="0">
      <w:numFmt w:val="bullet"/>
      <w:lvlText w:val="o"/>
      <w:pPr>
        <w:ind w:left="420" w:hanging="360"/>
      </w:pPr>
    </w:lvl>
  </w:abstractNum>
  <w:abstractNum w:abstractNumId="21">
    <w:multiLevelType w:val="singleLevel"/>
    <w:lvl w:ilvl="0">
      <w:start w:val="1"/>
      <w:numFmt w:val="upperLetter"/>
      <w:lvlText w:val="%1."/>
      <w:pPr>
        <w:ind w:left="420" w:hanging="360"/>
      </w:pPr>
    </w:lvl>
  </w:abstractNum>
  <w:abstractNum w:abstractNumId="22">
    <w:multiLevelType w:val="singleLevel"/>
    <w:lvl w:ilvl="0">
      <w:start w:val="1"/>
      <w:numFmt w:val="lowerLetter"/>
      <w:lvlText w:val="%1."/>
      <w:pPr>
        <w:ind w:left="420" w:hanging="360"/>
      </w:pPr>
    </w:lvl>
  </w:abstractNum>
  <w:abstractNum w:abstractNumId="23">
    <w:multiLevelType w:val="singleLevel"/>
    <w:lvl w:ilvl="0">
      <w:start w:val="1"/>
      <w:numFmt w:val="upperRoman"/>
      <w:lvlText w:val="%1."/>
      <w:pPr>
        <w:ind w:left="420" w:hanging="360"/>
      </w:pPr>
    </w:lvl>
  </w:abstractNum>
  <w:abstractNum w:abstractNumId="24">
    <w:multiLevelType w:val="singleLevel"/>
    <w:lvl w:ilvl="0">
      <w:start w:val="1"/>
      <w:numFmt w:val="lowerRoman"/>
      <w:lvlText w:val="%1."/>
      <w:pPr>
        <w:ind w:left="420" w:hanging="360"/>
      </w:pPr>
    </w:lvl>
  </w:abstractNum>
  <w:abstractNum w:abstractNumId="25">
    <w:multiLevelType w:val="singleLevel"/>
    <w:lvl w:ilvl="0">
      <w:start w:val="1"/>
      <w:numFmt w:val="decimal"/>
      <w:lvlText w:val="%1."/>
      <w:pPr>
        <w:ind w:left="420" w:hanging="360"/>
      </w:pPr>
    </w:lvl>
  </w:abstractNum>
  <w:abstractNum w:abstractNumId="26">
    <w:multiLevelType w:val="singleLevel"/>
    <w:lvl w:ilvl="0">
      <w:numFmt w:val="bullet"/>
      <w:lvlText w:val="•"/>
      <w:pPr>
        <w:ind w:left="420" w:hanging="360"/>
      </w:pPr>
    </w:lvl>
  </w:abstractNum>
  <w:abstractNum w:abstractNumId="27">
    <w:multiLevelType w:val="singleLevel"/>
    <w:lvl w:ilvl="0">
      <w:numFmt w:val="bullet"/>
      <w:lvlText w:val="▪"/>
      <w:pPr>
        <w:ind w:left="420" w:hanging="360"/>
      </w:pPr>
    </w:lvl>
  </w:abstractNum>
  <w:abstractNum w:abstractNumId="28">
    <w:multiLevelType w:val="singleLevel"/>
    <w:lvl w:ilvl="0">
      <w:numFmt w:val="bullet"/>
      <w:lvlText w:val="o"/>
      <w:pPr>
        <w:ind w:left="420" w:hanging="360"/>
      </w:pPr>
    </w:lvl>
  </w:abstractNum>
  <w:abstractNum w:abstractNumId="29">
    <w:multiLevelType w:val="singleLevel"/>
    <w:lvl w:ilvl="0">
      <w:start w:val="1"/>
      <w:numFmt w:val="upperLetter"/>
      <w:lvlText w:val="%1."/>
      <w:pPr>
        <w:ind w:left="420" w:hanging="360"/>
      </w:pPr>
    </w:lvl>
  </w:abstractNum>
  <w:abstractNum w:abstractNumId="30">
    <w:multiLevelType w:val="singleLevel"/>
    <w:lvl w:ilvl="0">
      <w:start w:val="1"/>
      <w:numFmt w:val="lowerLetter"/>
      <w:lvlText w:val="%1."/>
      <w:pPr>
        <w:ind w:left="420" w:hanging="360"/>
      </w:pPr>
    </w:lvl>
  </w:abstractNum>
  <w:abstractNum w:abstractNumId="31">
    <w:multiLevelType w:val="singleLevel"/>
    <w:lvl w:ilvl="0">
      <w:start w:val="1"/>
      <w:numFmt w:val="upperRoman"/>
      <w:lvlText w:val="%1."/>
      <w:pPr>
        <w:ind w:left="420" w:hanging="360"/>
      </w:pPr>
    </w:lvl>
  </w:abstractNum>
  <w:abstractNum w:abstractNumId="32">
    <w:multiLevelType w:val="singleLevel"/>
    <w:lvl w:ilvl="0">
      <w:start w:val="1"/>
      <w:numFmt w:val="lowerRoman"/>
      <w:lvlText w:val="%1."/>
      <w:pPr>
        <w:ind w:left="420" w:hanging="360"/>
      </w:pPr>
    </w:lvl>
  </w:abstractNum>
  <w:abstractNum w:abstractNumId="33">
    <w:multiLevelType w:val="singleLevel"/>
    <w:lvl w:ilvl="0">
      <w:start w:val="1"/>
      <w:numFmt w:val="decimal"/>
      <w:lvlText w:val="%1."/>
      <w:pPr>
        <w:ind w:left="420" w:hanging="360"/>
      </w:pPr>
    </w:lvl>
  </w:abstractNum>
  <w:abstractNum w:abstractNumId="34">
    <w:multiLevelType w:val="singleLevel"/>
    <w:lvl w:ilvl="0">
      <w:numFmt w:val="bullet"/>
      <w:lvlText w:val="•"/>
      <w:pPr>
        <w:ind w:left="420" w:hanging="360"/>
      </w:pPr>
    </w:lvl>
  </w:abstractNum>
  <w:abstractNum w:abstractNumId="35">
    <w:multiLevelType w:val="singleLevel"/>
    <w:lvl w:ilvl="0">
      <w:numFmt w:val="bullet"/>
      <w:lvlText w:val="▪"/>
      <w:pPr>
        <w:ind w:left="420" w:hanging="360"/>
      </w:pPr>
    </w:lvl>
  </w:abstractNum>
  <w:abstractNum w:abstractNumId="36">
    <w:multiLevelType w:val="singleLevel"/>
    <w:lvl w:ilvl="0">
      <w:numFmt w:val="bullet"/>
      <w:lvlText w:val="o"/>
      <w:pPr>
        <w:ind w:left="420" w:hanging="360"/>
      </w:pPr>
    </w:lvl>
  </w:abstractNum>
  <w:abstractNum w:abstractNumId="37">
    <w:multiLevelType w:val="singleLevel"/>
    <w:lvl w:ilvl="0">
      <w:start w:val="1"/>
      <w:numFmt w:val="upperLetter"/>
      <w:lvlText w:val="%1."/>
      <w:pPr>
        <w:ind w:left="420" w:hanging="360"/>
      </w:pPr>
    </w:lvl>
  </w:abstractNum>
  <w:abstractNum w:abstractNumId="38">
    <w:multiLevelType w:val="singleLevel"/>
    <w:lvl w:ilvl="0">
      <w:start w:val="1"/>
      <w:numFmt w:val="lowerLetter"/>
      <w:lvlText w:val="%1."/>
      <w:pPr>
        <w:ind w:left="420" w:hanging="360"/>
      </w:pPr>
    </w:lvl>
  </w:abstractNum>
  <w:abstractNum w:abstractNumId="39">
    <w:multiLevelType w:val="singleLevel"/>
    <w:lvl w:ilvl="0">
      <w:start w:val="1"/>
      <w:numFmt w:val="upperRoman"/>
      <w:lvlText w:val="%1."/>
      <w:pPr>
        <w:ind w:left="420" w:hanging="360"/>
      </w:pPr>
    </w:lvl>
  </w:abstractNum>
  <w:abstractNum w:abstractNumId="40">
    <w:multiLevelType w:val="singleLevel"/>
    <w:lvl w:ilvl="0">
      <w:start w:val="1"/>
      <w:numFmt w:val="lowerRoman"/>
      <w:lvlText w:val="%1."/>
      <w:pPr>
        <w:ind w:left="420" w:hanging="360"/>
      </w:pPr>
    </w:lvl>
  </w:abstractNum>
  <w:abstractNum w:abstractNumId="41">
    <w:multiLevelType w:val="singleLevel"/>
    <w:lvl w:ilvl="0">
      <w:start w:val="1"/>
      <w:numFmt w:val="decimal"/>
      <w:lvlText w:val="%1."/>
      <w:pPr>
        <w:ind w:left="420" w:hanging="360"/>
      </w:pPr>
    </w:lvl>
  </w:abstractNum>
  <w:abstractNum w:abstractNumId="42">
    <w:multiLevelType w:val="singleLevel"/>
    <w:lvl w:ilvl="0">
      <w:numFmt w:val="bullet"/>
      <w:lvlText w:val="•"/>
      <w:pPr>
        <w:ind w:left="420" w:hanging="360"/>
      </w:pPr>
    </w:lvl>
  </w:abstractNum>
  <w:abstractNum w:abstractNumId="43">
    <w:multiLevelType w:val="singleLevel"/>
    <w:lvl w:ilvl="0">
      <w:numFmt w:val="bullet"/>
      <w:lvlText w:val="▪"/>
      <w:pPr>
        <w:ind w:left="420" w:hanging="360"/>
      </w:pPr>
    </w:lvl>
  </w:abstractNum>
  <w:abstractNum w:abstractNumId="44">
    <w:multiLevelType w:val="singleLevel"/>
    <w:lvl w:ilvl="0">
      <w:numFmt w:val="bullet"/>
      <w:lvlText w:val="o"/>
      <w:pPr>
        <w:ind w:left="420" w:hanging="360"/>
      </w:pPr>
    </w:lvl>
  </w:abstractNum>
  <w:abstractNum w:abstractNumId="45">
    <w:multiLevelType w:val="singleLevel"/>
    <w:lvl w:ilvl="0">
      <w:start w:val="1"/>
      <w:numFmt w:val="upperLetter"/>
      <w:lvlText w:val="%1."/>
      <w:pPr>
        <w:ind w:left="420" w:hanging="360"/>
      </w:pPr>
    </w:lvl>
  </w:abstractNum>
  <w:abstractNum w:abstractNumId="46">
    <w:multiLevelType w:val="singleLevel"/>
    <w:lvl w:ilvl="0">
      <w:start w:val="1"/>
      <w:numFmt w:val="lowerLetter"/>
      <w:lvlText w:val="%1."/>
      <w:pPr>
        <w:ind w:left="420" w:hanging="360"/>
      </w:pPr>
    </w:lvl>
  </w:abstractNum>
  <w:abstractNum w:abstractNumId="47">
    <w:multiLevelType w:val="singleLevel"/>
    <w:lvl w:ilvl="0">
      <w:start w:val="1"/>
      <w:numFmt w:val="upperRoman"/>
      <w:lvlText w:val="%1."/>
      <w:pPr>
        <w:ind w:left="420" w:hanging="360"/>
      </w:pPr>
    </w:lvl>
  </w:abstractNum>
  <w:abstractNum w:abstractNumId="48">
    <w:multiLevelType w:val="singleLevel"/>
    <w:lvl w:ilvl="0">
      <w:start w:val="1"/>
      <w:numFmt w:val="lowerRoman"/>
      <w:lvlText w:val="%1."/>
      <w:pPr>
        <w:ind w:left="420" w:hanging="360"/>
      </w:pPr>
    </w:lvl>
  </w:abstractNum>
  <w:abstractNum w:abstractNumId="49">
    <w:multiLevelType w:val="singleLevel"/>
    <w:lvl w:ilvl="0">
      <w:start w:val="1"/>
      <w:numFmt w:val="decimal"/>
      <w:lvlText w:val="%1."/>
      <w:pPr>
        <w:ind w:left="420" w:hanging="360"/>
      </w:pPr>
    </w:lvl>
  </w:abstractNum>
  <w:abstractNum w:abstractNumId="50">
    <w:multiLevelType w:val="singleLevel"/>
    <w:lvl w:ilvl="0">
      <w:numFmt w:val="bullet"/>
      <w:lvlText w:val="•"/>
      <w:pPr>
        <w:ind w:left="420" w:hanging="360"/>
      </w:pPr>
    </w:lvl>
  </w:abstractNum>
  <w:abstractNum w:abstractNumId="51">
    <w:multiLevelType w:val="singleLevel"/>
    <w:lvl w:ilvl="0">
      <w:numFmt w:val="bullet"/>
      <w:lvlText w:val="▪"/>
      <w:pPr>
        <w:ind w:left="420" w:hanging="360"/>
      </w:pPr>
    </w:lvl>
  </w:abstractNum>
  <w:abstractNum w:abstractNumId="52">
    <w:multiLevelType w:val="singleLevel"/>
    <w:lvl w:ilvl="0">
      <w:numFmt w:val="bullet"/>
      <w:lvlText w:val="o"/>
      <w:pPr>
        <w:ind w:left="420" w:hanging="360"/>
      </w:pPr>
    </w:lvl>
  </w:abstractNum>
  <w:abstractNum w:abstractNumId="53">
    <w:multiLevelType w:val="singleLevel"/>
    <w:lvl w:ilvl="0">
      <w:start w:val="1"/>
      <w:numFmt w:val="upperLetter"/>
      <w:lvlText w:val="%1."/>
      <w:pPr>
        <w:ind w:left="420" w:hanging="360"/>
      </w:pPr>
    </w:lvl>
  </w:abstractNum>
  <w:abstractNum w:abstractNumId="54">
    <w:multiLevelType w:val="singleLevel"/>
    <w:lvl w:ilvl="0">
      <w:start w:val="1"/>
      <w:numFmt w:val="lowerLetter"/>
      <w:lvlText w:val="%1."/>
      <w:pPr>
        <w:ind w:left="420" w:hanging="360"/>
      </w:pPr>
    </w:lvl>
  </w:abstractNum>
  <w:abstractNum w:abstractNumId="55">
    <w:multiLevelType w:val="singleLevel"/>
    <w:lvl w:ilvl="0">
      <w:start w:val="1"/>
      <w:numFmt w:val="upperRoman"/>
      <w:lvlText w:val="%1."/>
      <w:pPr>
        <w:ind w:left="420" w:hanging="360"/>
      </w:pPr>
    </w:lvl>
  </w:abstractNum>
  <w:abstractNum w:abstractNumId="56">
    <w:multiLevelType w:val="singleLevel"/>
    <w:lvl w:ilvl="0">
      <w:start w:val="1"/>
      <w:numFmt w:val="lowerRoman"/>
      <w:lvlText w:val="%1."/>
      <w:pPr>
        <w:ind w:left="420" w:hanging="360"/>
      </w:pPr>
    </w:lvl>
  </w:abstractNum>
  <w:abstractNum w:abstractNumId="57">
    <w:multiLevelType w:val="singleLevel"/>
    <w:lvl w:ilvl="0">
      <w:start w:val="1"/>
      <w:numFmt w:val="decimal"/>
      <w:lvlText w:val="%1."/>
      <w:pPr>
        <w:ind w:left="420" w:hanging="360"/>
      </w:pPr>
    </w:lvl>
  </w:abstractNum>
  <w:abstractNum w:abstractNumId="58">
    <w:multiLevelType w:val="singleLevel"/>
    <w:lvl w:ilvl="0">
      <w:numFmt w:val="bullet"/>
      <w:lvlText w:val="•"/>
      <w:pPr>
        <w:ind w:left="420" w:hanging="360"/>
      </w:pPr>
    </w:lvl>
  </w:abstractNum>
  <w:abstractNum w:abstractNumId="59">
    <w:multiLevelType w:val="singleLevel"/>
    <w:lvl w:ilvl="0">
      <w:numFmt w:val="bullet"/>
      <w:lvlText w:val="▪"/>
      <w:pPr>
        <w:ind w:left="420" w:hanging="360"/>
      </w:pPr>
    </w:lvl>
  </w:abstractNum>
  <w:abstractNum w:abstractNumId="60">
    <w:multiLevelType w:val="singleLevel"/>
    <w:lvl w:ilvl="0">
      <w:numFmt w:val="bullet"/>
      <w:lvlText w:val="o"/>
      <w:pPr>
        <w:ind w:left="420" w:hanging="360"/>
      </w:pPr>
    </w:lvl>
  </w:abstractNum>
  <w:abstractNum w:abstractNumId="61">
    <w:multiLevelType w:val="singleLevel"/>
    <w:lvl w:ilvl="0">
      <w:start w:val="1"/>
      <w:numFmt w:val="upperLetter"/>
      <w:lvlText w:val="%1."/>
      <w:pPr>
        <w:ind w:left="420" w:hanging="360"/>
      </w:pPr>
    </w:lvl>
  </w:abstractNum>
  <w:abstractNum w:abstractNumId="62">
    <w:multiLevelType w:val="singleLevel"/>
    <w:lvl w:ilvl="0">
      <w:start w:val="1"/>
      <w:numFmt w:val="lowerLetter"/>
      <w:lvlText w:val="%1."/>
      <w:pPr>
        <w:ind w:left="420" w:hanging="360"/>
      </w:pPr>
    </w:lvl>
  </w:abstractNum>
  <w:abstractNum w:abstractNumId="63">
    <w:multiLevelType w:val="singleLevel"/>
    <w:lvl w:ilvl="0">
      <w:start w:val="1"/>
      <w:numFmt w:val="upperRoman"/>
      <w:lvlText w:val="%1."/>
      <w:pPr>
        <w:ind w:left="420" w:hanging="360"/>
      </w:pPr>
    </w:lvl>
  </w:abstractNum>
  <w:abstractNum w:abstractNumId="64">
    <w:multiLevelType w:val="singleLevel"/>
    <w:lvl w:ilvl="0">
      <w:start w:val="1"/>
      <w:numFmt w:val="lowerRoman"/>
      <w:lvlText w:val="%1."/>
      <w:pPr>
        <w:ind w:left="420" w:hanging="360"/>
      </w:pPr>
    </w:lvl>
  </w:abstractNum>
  <w:abstractNum w:abstractNumId="65">
    <w:multiLevelType w:val="singleLevel"/>
    <w:lvl w:ilvl="0">
      <w:start w:val="1"/>
      <w:numFmt w:val="decimal"/>
      <w:lvlText w:val="%1."/>
      <w:pPr>
        <w:ind w:left="420" w:hanging="360"/>
      </w:pPr>
    </w:lvl>
  </w:abstractNum>
  <w:abstractNum w:abstractNumId="66">
    <w:multiLevelType w:val="singleLevel"/>
    <w:lvl w:ilvl="0">
      <w:numFmt w:val="bullet"/>
      <w:lvlText w:val="•"/>
      <w:pPr>
        <w:ind w:left="420" w:hanging="360"/>
      </w:pPr>
    </w:lvl>
  </w:abstractNum>
  <w:abstractNum w:abstractNumId="67">
    <w:multiLevelType w:val="singleLevel"/>
    <w:lvl w:ilvl="0">
      <w:numFmt w:val="bullet"/>
      <w:lvlText w:val="▪"/>
      <w:pPr>
        <w:ind w:left="420" w:hanging="360"/>
      </w:pPr>
    </w:lvl>
  </w:abstractNum>
  <w:abstractNum w:abstractNumId="68">
    <w:multiLevelType w:val="singleLevel"/>
    <w:lvl w:ilvl="0">
      <w:numFmt w:val="bullet"/>
      <w:lvlText w:val="o"/>
      <w:pPr>
        <w:ind w:left="420" w:hanging="360"/>
      </w:pPr>
    </w:lvl>
  </w:abstractNum>
  <w:abstractNum w:abstractNumId="69">
    <w:multiLevelType w:val="singleLevel"/>
    <w:lvl w:ilvl="0">
      <w:start w:val="1"/>
      <w:numFmt w:val="upperLetter"/>
      <w:lvlText w:val="%1."/>
      <w:pPr>
        <w:ind w:left="420" w:hanging="360"/>
      </w:pPr>
    </w:lvl>
  </w:abstractNum>
  <w:abstractNum w:abstractNumId="70">
    <w:multiLevelType w:val="singleLevel"/>
    <w:lvl w:ilvl="0">
      <w:start w:val="1"/>
      <w:numFmt w:val="lowerLetter"/>
      <w:lvlText w:val="%1."/>
      <w:pPr>
        <w:ind w:left="420" w:hanging="360"/>
      </w:pPr>
    </w:lvl>
  </w:abstractNum>
  <w:abstractNum w:abstractNumId="71">
    <w:multiLevelType w:val="singleLevel"/>
    <w:lvl w:ilvl="0">
      <w:start w:val="1"/>
      <w:numFmt w:val="upperRoman"/>
      <w:lvlText w:val="%1."/>
      <w:pPr>
        <w:ind w:left="420" w:hanging="360"/>
      </w:pPr>
    </w:lvl>
  </w:abstractNum>
  <w:abstractNum w:abstractNumId="72">
    <w:multiLevelType w:val="singleLevel"/>
    <w:lvl w:ilvl="0">
      <w:start w:val="1"/>
      <w:numFmt w:val="lowerRoman"/>
      <w:lvlText w:val="%1."/>
      <w:pPr>
        <w:ind w:left="420" w:hanging="360"/>
      </w:pPr>
    </w:lvl>
  </w:abstractNum>
  <w:abstractNum w:abstractNumId="73">
    <w:multiLevelType w:val="singleLevel"/>
    <w:lvl w:ilvl="0">
      <w:start w:val="1"/>
      <w:numFmt w:val="decimal"/>
      <w:lvlText w:val="%1."/>
      <w:pPr>
        <w:ind w:left="420" w:hanging="360"/>
      </w:pPr>
    </w:lvl>
  </w:abstractNum>
  <w:abstractNum w:abstractNumId="74">
    <w:multiLevelType w:val="singleLevel"/>
    <w:lvl w:ilvl="0">
      <w:numFmt w:val="bullet"/>
      <w:lvlText w:val="•"/>
      <w:pPr>
        <w:ind w:left="420" w:hanging="360"/>
      </w:pPr>
    </w:lvl>
  </w:abstractNum>
  <w:abstractNum w:abstractNumId="75">
    <w:multiLevelType w:val="singleLevel"/>
    <w:lvl w:ilvl="0">
      <w:numFmt w:val="bullet"/>
      <w:lvlText w:val="▪"/>
      <w:pPr>
        <w:ind w:left="420" w:hanging="360"/>
      </w:pPr>
    </w:lvl>
  </w:abstractNum>
  <w:abstractNum w:abstractNumId="76">
    <w:multiLevelType w:val="singleLevel"/>
    <w:lvl w:ilvl="0">
      <w:numFmt w:val="bullet"/>
      <w:lvlText w:val="o"/>
      <w:pPr>
        <w:ind w:left="420" w:hanging="360"/>
      </w:pPr>
    </w:lvl>
  </w:abstractNum>
  <w:abstractNum w:abstractNumId="77">
    <w:multiLevelType w:val="singleLevel"/>
    <w:lvl w:ilvl="0">
      <w:start w:val="1"/>
      <w:numFmt w:val="upperLetter"/>
      <w:lvlText w:val="%1."/>
      <w:pPr>
        <w:ind w:left="420" w:hanging="360"/>
      </w:pPr>
    </w:lvl>
  </w:abstractNum>
  <w:abstractNum w:abstractNumId="78">
    <w:multiLevelType w:val="singleLevel"/>
    <w:lvl w:ilvl="0">
      <w:start w:val="1"/>
      <w:numFmt w:val="lowerLetter"/>
      <w:lvlText w:val="%1."/>
      <w:pPr>
        <w:ind w:left="420" w:hanging="360"/>
      </w:pPr>
    </w:lvl>
  </w:abstractNum>
  <w:abstractNum w:abstractNumId="79">
    <w:multiLevelType w:val="singleLevel"/>
    <w:lvl w:ilvl="0">
      <w:start w:val="1"/>
      <w:numFmt w:val="upperRoman"/>
      <w:lvlText w:val="%1."/>
      <w:pPr>
        <w:ind w:left="420" w:hanging="360"/>
      </w:pPr>
    </w:lvl>
  </w:abstractNum>
  <w:abstractNum w:abstractNumId="80">
    <w:multiLevelType w:val="singleLevel"/>
    <w:lvl w:ilvl="0">
      <w:start w:val="1"/>
      <w:numFmt w:val="lowerRoman"/>
      <w:lvlText w:val="%1."/>
      <w:pPr>
        <w:ind w:left="420" w:hanging="360"/>
      </w:pPr>
    </w:lvl>
  </w:abstractNum>
  <w:abstractNum w:abstractNumId="81">
    <w:multiLevelType w:val="singleLevel"/>
    <w:lvl w:ilvl="0">
      <w:start w:val="1"/>
      <w:numFmt w:val="decimal"/>
      <w:lvlText w:val="%1."/>
      <w:pPr>
        <w:ind w:left="420" w:hanging="360"/>
      </w:pPr>
    </w:lvl>
  </w:abstractNum>
  <w:abstractNum w:abstractNumId="82">
    <w:multiLevelType w:val="singleLevel"/>
    <w:lvl w:ilvl="0">
      <w:numFmt w:val="bullet"/>
      <w:lvlText w:val="•"/>
      <w:pPr>
        <w:ind w:left="420" w:hanging="360"/>
      </w:pPr>
    </w:lvl>
  </w:abstractNum>
  <w:abstractNum w:abstractNumId="83">
    <w:multiLevelType w:val="singleLevel"/>
    <w:lvl w:ilvl="0">
      <w:numFmt w:val="bullet"/>
      <w:lvlText w:val="▪"/>
      <w:pPr>
        <w:ind w:left="420" w:hanging="360"/>
      </w:pPr>
    </w:lvl>
  </w:abstractNum>
  <w:abstractNum w:abstractNumId="84">
    <w:multiLevelType w:val="singleLevel"/>
    <w:lvl w:ilvl="0">
      <w:numFmt w:val="bullet"/>
      <w:lvlText w:val="o"/>
      <w:pPr>
        <w:ind w:left="420" w:hanging="360"/>
      </w:pPr>
    </w:lvl>
  </w:abstractNum>
  <w:abstractNum w:abstractNumId="85">
    <w:multiLevelType w:val="singleLevel"/>
    <w:lvl w:ilvl="0">
      <w:start w:val="1"/>
      <w:numFmt w:val="upperLetter"/>
      <w:lvlText w:val="%1."/>
      <w:pPr>
        <w:ind w:left="420" w:hanging="360"/>
      </w:pPr>
    </w:lvl>
  </w:abstractNum>
  <w:abstractNum w:abstractNumId="86">
    <w:multiLevelType w:val="singleLevel"/>
    <w:lvl w:ilvl="0">
      <w:start w:val="1"/>
      <w:numFmt w:val="lowerLetter"/>
      <w:lvlText w:val="%1."/>
      <w:pPr>
        <w:ind w:left="420" w:hanging="360"/>
      </w:pPr>
    </w:lvl>
  </w:abstractNum>
  <w:abstractNum w:abstractNumId="87">
    <w:multiLevelType w:val="singleLevel"/>
    <w:lvl w:ilvl="0">
      <w:start w:val="1"/>
      <w:numFmt w:val="upperRoman"/>
      <w:lvlText w:val="%1."/>
      <w:pPr>
        <w:ind w:left="420" w:hanging="360"/>
      </w:pPr>
    </w:lvl>
  </w:abstractNum>
  <w:abstractNum w:abstractNumId="88">
    <w:multiLevelType w:val="singleLevel"/>
    <w:lvl w:ilvl="0">
      <w:start w:val="1"/>
      <w:numFmt w:val="lowerRoman"/>
      <w:lvlText w:val="%1."/>
      <w:pPr>
        <w:ind w:left="420" w:hanging="360"/>
      </w:pPr>
    </w:lvl>
  </w:abstractNum>
  <w:abstractNum w:abstractNumId="89">
    <w:multiLevelType w:val="singleLevel"/>
    <w:lvl w:ilvl="0">
      <w:start w:val="1"/>
      <w:numFmt w:val="decimal"/>
      <w:lvlText w:val="%1."/>
      <w:pPr>
        <w:ind w:left="420" w:hanging="360"/>
      </w:pPr>
    </w:lvl>
  </w:abstractNum>
  <w:abstractNum w:abstractNumId="90">
    <w:multiLevelType w:val="singleLevel"/>
    <w:lvl w:ilvl="0">
      <w:numFmt w:val="bullet"/>
      <w:lvlText w:val="•"/>
      <w:pPr>
        <w:ind w:left="420" w:hanging="360"/>
      </w:pPr>
    </w:lvl>
  </w:abstractNum>
  <w:abstractNum w:abstractNumId="91">
    <w:multiLevelType w:val="singleLevel"/>
    <w:lvl w:ilvl="0">
      <w:numFmt w:val="bullet"/>
      <w:lvlText w:val="▪"/>
      <w:pPr>
        <w:ind w:left="420" w:hanging="360"/>
      </w:pPr>
    </w:lvl>
  </w:abstractNum>
  <w:abstractNum w:abstractNumId="92">
    <w:multiLevelType w:val="singleLevel"/>
    <w:lvl w:ilvl="0">
      <w:numFmt w:val="bullet"/>
      <w:lvlText w:val="o"/>
      <w:pPr>
        <w:ind w:left="420" w:hanging="360"/>
      </w:pPr>
    </w:lvl>
  </w:abstractNum>
  <w:abstractNum w:abstractNumId="93">
    <w:multiLevelType w:val="singleLevel"/>
    <w:lvl w:ilvl="0">
      <w:start w:val="1"/>
      <w:numFmt w:val="upperLetter"/>
      <w:lvlText w:val="%1."/>
      <w:pPr>
        <w:ind w:left="420" w:hanging="360"/>
      </w:pPr>
    </w:lvl>
  </w:abstractNum>
  <w:abstractNum w:abstractNumId="94">
    <w:multiLevelType w:val="singleLevel"/>
    <w:lvl w:ilvl="0">
      <w:start w:val="1"/>
      <w:numFmt w:val="lowerLetter"/>
      <w:lvlText w:val="%1."/>
      <w:pPr>
        <w:ind w:left="420" w:hanging="360"/>
      </w:pPr>
    </w:lvl>
  </w:abstractNum>
  <w:abstractNum w:abstractNumId="95">
    <w:multiLevelType w:val="singleLevel"/>
    <w:lvl w:ilvl="0">
      <w:start w:val="1"/>
      <w:numFmt w:val="upperRoman"/>
      <w:lvlText w:val="%1."/>
      <w:pPr>
        <w:ind w:left="420" w:hanging="360"/>
      </w:pPr>
    </w:lvl>
  </w:abstractNum>
  <w:abstractNum w:abstractNumId="96">
    <w:multiLevelType w:val="singleLevel"/>
    <w:lvl w:ilvl="0">
      <w:start w:val="1"/>
      <w:numFmt w:val="lowerRoman"/>
      <w:lvlText w:val="%1."/>
      <w:pPr>
        <w:ind w:left="420" w:hanging="360"/>
      </w:pPr>
    </w:lvl>
  </w:abstractNum>
  <w:abstractNum w:abstractNumId="97">
    <w:multiLevelType w:val="singleLevel"/>
    <w:lvl w:ilvl="0">
      <w:start w:val="1"/>
      <w:numFmt w:val="decimal"/>
      <w:lvlText w:val="%1."/>
      <w:pPr>
        <w:ind w:left="420" w:hanging="360"/>
      </w:pPr>
    </w:lvl>
  </w:abstractNum>
  <w:abstractNum w:abstractNumId="98">
    <w:multiLevelType w:val="singleLevel"/>
    <w:lvl w:ilvl="0">
      <w:numFmt w:val="bullet"/>
      <w:lvlText w:val="•"/>
      <w:pPr>
        <w:ind w:left="420" w:hanging="360"/>
      </w:pPr>
    </w:lvl>
  </w:abstractNum>
  <w:abstractNum w:abstractNumId="99">
    <w:multiLevelType w:val="singleLevel"/>
    <w:lvl w:ilvl="0">
      <w:numFmt w:val="bullet"/>
      <w:lvlText w:val="▪"/>
      <w:pPr>
        <w:ind w:left="420" w:hanging="360"/>
      </w:pPr>
    </w:lvl>
  </w:abstractNum>
  <w:abstractNum w:abstractNumId="100">
    <w:multiLevelType w:val="singleLevel"/>
    <w:lvl w:ilvl="0">
      <w:numFmt w:val="bullet"/>
      <w:lvlText w:val="o"/>
      <w:pPr>
        <w:ind w:left="420" w:hanging="360"/>
      </w:pPr>
    </w:lvl>
  </w:abstractNum>
  <w:abstractNum w:abstractNumId="101">
    <w:multiLevelType w:val="singleLevel"/>
    <w:lvl w:ilvl="0">
      <w:start w:val="1"/>
      <w:numFmt w:val="upperLetter"/>
      <w:lvlText w:val="%1."/>
      <w:pPr>
        <w:ind w:left="420" w:hanging="360"/>
      </w:pPr>
    </w:lvl>
  </w:abstractNum>
  <w:abstractNum w:abstractNumId="102">
    <w:multiLevelType w:val="singleLevel"/>
    <w:lvl w:ilvl="0">
      <w:start w:val="1"/>
      <w:numFmt w:val="lowerLetter"/>
      <w:lvlText w:val="%1."/>
      <w:pPr>
        <w:ind w:left="420" w:hanging="360"/>
      </w:pPr>
    </w:lvl>
  </w:abstractNum>
  <w:abstractNum w:abstractNumId="103">
    <w:multiLevelType w:val="singleLevel"/>
    <w:lvl w:ilvl="0">
      <w:start w:val="1"/>
      <w:numFmt w:val="upperRoman"/>
      <w:lvlText w:val="%1."/>
      <w:pPr>
        <w:ind w:left="420" w:hanging="360"/>
      </w:pPr>
    </w:lvl>
  </w:abstractNum>
  <w:abstractNum w:abstractNumId="104">
    <w:multiLevelType w:val="singleLevel"/>
    <w:lvl w:ilvl="0">
      <w:start w:val="1"/>
      <w:numFmt w:val="lowerRoman"/>
      <w:lvlText w:val="%1."/>
      <w:pPr>
        <w:ind w:left="420" w:hanging="360"/>
      </w:pPr>
    </w:lvl>
  </w:abstractNum>
  <w:abstractNum w:abstractNumId="105">
    <w:multiLevelType w:val="singleLevel"/>
    <w:lvl w:ilvl="0">
      <w:start w:val="1"/>
      <w:numFmt w:val="decimal"/>
      <w:lvlText w:val="%1."/>
      <w:pPr>
        <w:ind w:left="420" w:hanging="360"/>
      </w:pPr>
    </w:lvl>
  </w:abstractNum>
  <w:abstractNum w:abstractNumId="106">
    <w:multiLevelType w:val="singleLevel"/>
    <w:lvl w:ilvl="0">
      <w:numFmt w:val="bullet"/>
      <w:lvlText w:val="•"/>
      <w:pPr>
        <w:ind w:left="420" w:hanging="360"/>
      </w:pPr>
    </w:lvl>
  </w:abstractNum>
  <w:abstractNum w:abstractNumId="107">
    <w:multiLevelType w:val="singleLevel"/>
    <w:lvl w:ilvl="0">
      <w:numFmt w:val="bullet"/>
      <w:lvlText w:val="▪"/>
      <w:pPr>
        <w:ind w:left="420" w:hanging="360"/>
      </w:pPr>
    </w:lvl>
  </w:abstractNum>
  <w:abstractNum w:abstractNumId="108">
    <w:multiLevelType w:val="singleLevel"/>
    <w:lvl w:ilvl="0">
      <w:numFmt w:val="bullet"/>
      <w:lvlText w:val="o"/>
      <w:pPr>
        <w:ind w:left="420" w:hanging="360"/>
      </w:pPr>
    </w:lvl>
  </w:abstractNum>
  <w:abstractNum w:abstractNumId="109">
    <w:multiLevelType w:val="singleLevel"/>
    <w:lvl w:ilvl="0">
      <w:start w:val="1"/>
      <w:numFmt w:val="upperLetter"/>
      <w:lvlText w:val="%1."/>
      <w:pPr>
        <w:ind w:left="420" w:hanging="360"/>
      </w:pPr>
    </w:lvl>
  </w:abstractNum>
  <w:abstractNum w:abstractNumId="110">
    <w:multiLevelType w:val="singleLevel"/>
    <w:lvl w:ilvl="0">
      <w:start w:val="1"/>
      <w:numFmt w:val="lowerLetter"/>
      <w:lvlText w:val="%1."/>
      <w:pPr>
        <w:ind w:left="420" w:hanging="360"/>
      </w:pPr>
    </w:lvl>
  </w:abstractNum>
  <w:abstractNum w:abstractNumId="111">
    <w:multiLevelType w:val="singleLevel"/>
    <w:lvl w:ilvl="0">
      <w:start w:val="1"/>
      <w:numFmt w:val="upperRoman"/>
      <w:lvlText w:val="%1."/>
      <w:pPr>
        <w:ind w:left="420" w:hanging="360"/>
      </w:pPr>
    </w:lvl>
  </w:abstractNum>
  <w:abstractNum w:abstractNumId="112">
    <w:multiLevelType w:val="singleLevel"/>
    <w:lvl w:ilvl="0">
      <w:start w:val="1"/>
      <w:numFmt w:val="lowerRoman"/>
      <w:lvlText w:val="%1."/>
      <w:pPr>
        <w:ind w:left="420" w:hanging="360"/>
      </w:pPr>
    </w:lvl>
  </w:abstractNum>
  <w:abstractNum w:abstractNumId="113">
    <w:multiLevelType w:val="singleLevel"/>
    <w:lvl w:ilvl="0">
      <w:start w:val="1"/>
      <w:numFmt w:val="decimal"/>
      <w:lvlText w:val="%1."/>
      <w:pPr>
        <w:ind w:left="420" w:hanging="360"/>
      </w:pPr>
    </w:lvl>
  </w:abstractNum>
  <w:abstractNum w:abstractNumId="114">
    <w:multiLevelType w:val="singleLevel"/>
    <w:lvl w:ilvl="0">
      <w:numFmt w:val="bullet"/>
      <w:lvlText w:val="•"/>
      <w:pPr>
        <w:ind w:left="420" w:hanging="360"/>
      </w:pPr>
    </w:lvl>
  </w:abstractNum>
  <w:abstractNum w:abstractNumId="115">
    <w:multiLevelType w:val="singleLevel"/>
    <w:lvl w:ilvl="0">
      <w:numFmt w:val="bullet"/>
      <w:lvlText w:val="▪"/>
      <w:pPr>
        <w:ind w:left="420" w:hanging="360"/>
      </w:pPr>
    </w:lvl>
  </w:abstractNum>
  <w:abstractNum w:abstractNumId="116">
    <w:multiLevelType w:val="singleLevel"/>
    <w:lvl w:ilvl="0">
      <w:numFmt w:val="bullet"/>
      <w:lvlText w:val="o"/>
      <w:pPr>
        <w:ind w:left="420" w:hanging="360"/>
      </w:pPr>
    </w:lvl>
  </w:abstractNum>
  <w:abstractNum w:abstractNumId="117">
    <w:multiLevelType w:val="singleLevel"/>
    <w:lvl w:ilvl="0">
      <w:start w:val="1"/>
      <w:numFmt w:val="upperLetter"/>
      <w:lvlText w:val="%1."/>
      <w:pPr>
        <w:ind w:left="420" w:hanging="360"/>
      </w:pPr>
    </w:lvl>
  </w:abstractNum>
  <w:abstractNum w:abstractNumId="118">
    <w:multiLevelType w:val="singleLevel"/>
    <w:lvl w:ilvl="0">
      <w:start w:val="1"/>
      <w:numFmt w:val="lowerLetter"/>
      <w:lvlText w:val="%1."/>
      <w:pPr>
        <w:ind w:left="420" w:hanging="360"/>
      </w:pPr>
    </w:lvl>
  </w:abstractNum>
  <w:abstractNum w:abstractNumId="119">
    <w:multiLevelType w:val="singleLevel"/>
    <w:lvl w:ilvl="0">
      <w:start w:val="1"/>
      <w:numFmt w:val="upperRoman"/>
      <w:lvlText w:val="%1."/>
      <w:pPr>
        <w:ind w:left="420" w:hanging="360"/>
      </w:pPr>
    </w:lvl>
  </w:abstractNum>
  <w:abstractNum w:abstractNumId="120">
    <w:multiLevelType w:val="singleLevel"/>
    <w:lvl w:ilvl="0">
      <w:start w:val="1"/>
      <w:numFmt w:val="lowerRoman"/>
      <w:lvlText w:val="%1."/>
      <w:pPr>
        <w:ind w:left="420" w:hanging="360"/>
      </w:pPr>
    </w:lvl>
  </w:abstractNum>
  <w:abstractNum w:abstractNumId="121">
    <w:multiLevelType w:val="singleLevel"/>
    <w:lvl w:ilvl="0">
      <w:start w:val="1"/>
      <w:numFmt w:val="decimal"/>
      <w:lvlText w:val="%1."/>
      <w:pPr>
        <w:ind w:left="420" w:hanging="360"/>
      </w:pPr>
    </w:lvl>
  </w:abstractNum>
  <w:abstractNum w:abstractNumId="122">
    <w:multiLevelType w:val="singleLevel"/>
    <w:lvl w:ilvl="0">
      <w:numFmt w:val="bullet"/>
      <w:lvlText w:val="•"/>
      <w:pPr>
        <w:ind w:left="420" w:hanging="360"/>
      </w:pPr>
    </w:lvl>
  </w:abstractNum>
  <w:abstractNum w:abstractNumId="123">
    <w:multiLevelType w:val="singleLevel"/>
    <w:lvl w:ilvl="0">
      <w:numFmt w:val="bullet"/>
      <w:lvlText w:val="▪"/>
      <w:pPr>
        <w:ind w:left="420" w:hanging="360"/>
      </w:pPr>
    </w:lvl>
  </w:abstractNum>
  <w:abstractNum w:abstractNumId="124">
    <w:multiLevelType w:val="singleLevel"/>
    <w:lvl w:ilvl="0">
      <w:numFmt w:val="bullet"/>
      <w:lvlText w:val="o"/>
      <w:pPr>
        <w:ind w:left="420" w:hanging="360"/>
      </w:pPr>
    </w:lvl>
  </w:abstractNum>
  <w:abstractNum w:abstractNumId="125">
    <w:multiLevelType w:val="singleLevel"/>
    <w:lvl w:ilvl="0">
      <w:start w:val="1"/>
      <w:numFmt w:val="upperLetter"/>
      <w:lvlText w:val="%1."/>
      <w:pPr>
        <w:ind w:left="420" w:hanging="360"/>
      </w:pPr>
    </w:lvl>
  </w:abstractNum>
  <w:abstractNum w:abstractNumId="126">
    <w:multiLevelType w:val="singleLevel"/>
    <w:lvl w:ilvl="0">
      <w:start w:val="1"/>
      <w:numFmt w:val="lowerLetter"/>
      <w:lvlText w:val="%1."/>
      <w:pPr>
        <w:ind w:left="420" w:hanging="360"/>
      </w:pPr>
    </w:lvl>
  </w:abstractNum>
  <w:abstractNum w:abstractNumId="127">
    <w:multiLevelType w:val="singleLevel"/>
    <w:lvl w:ilvl="0">
      <w:start w:val="1"/>
      <w:numFmt w:val="upperRoman"/>
      <w:lvlText w:val="%1."/>
      <w:pPr>
        <w:ind w:left="420" w:hanging="360"/>
      </w:pPr>
    </w:lvl>
  </w:abstractNum>
  <w:abstractNum w:abstractNumId="128">
    <w:multiLevelType w:val="singleLevel"/>
    <w:lvl w:ilvl="0">
      <w:start w:val="1"/>
      <w:numFmt w:val="lowerRoman"/>
      <w:lvlText w:val="%1."/>
      <w:pPr>
        <w:ind w:left="420" w:hanging="360"/>
      </w:pPr>
    </w:lvl>
  </w:abstractNum>
  <w:abstractNum w:abstractNumId="129">
    <w:multiLevelType w:val="singleLevel"/>
    <w:lvl w:ilvl="0">
      <w:start w:val="1"/>
      <w:numFmt w:val="decimal"/>
      <w:lvlText w:val="%1."/>
      <w:pPr>
        <w:ind w:left="420" w:hanging="360"/>
      </w:pPr>
    </w:lvl>
  </w:abstractNum>
  <w:abstractNum w:abstractNumId="130">
    <w:multiLevelType w:val="singleLevel"/>
    <w:lvl w:ilvl="0">
      <w:numFmt w:val="bullet"/>
      <w:lvlText w:val="•"/>
      <w:pPr>
        <w:ind w:left="420" w:hanging="360"/>
      </w:pPr>
    </w:lvl>
  </w:abstractNum>
  <w:abstractNum w:abstractNumId="131">
    <w:multiLevelType w:val="singleLevel"/>
    <w:lvl w:ilvl="0">
      <w:numFmt w:val="bullet"/>
      <w:lvlText w:val="▪"/>
      <w:pPr>
        <w:ind w:left="420" w:hanging="360"/>
      </w:pPr>
    </w:lvl>
  </w:abstractNum>
  <w:abstractNum w:abstractNumId="132">
    <w:multiLevelType w:val="singleLevel"/>
    <w:lvl w:ilvl="0">
      <w:numFmt w:val="bullet"/>
      <w:lvlText w:val="o"/>
      <w:pPr>
        <w:ind w:left="420" w:hanging="360"/>
      </w:pPr>
    </w:lvl>
  </w:abstractNum>
  <w:abstractNum w:abstractNumId="133">
    <w:multiLevelType w:val="singleLevel"/>
    <w:lvl w:ilvl="0">
      <w:start w:val="1"/>
      <w:numFmt w:val="upperLetter"/>
      <w:lvlText w:val="%1."/>
      <w:pPr>
        <w:ind w:left="420" w:hanging="360"/>
      </w:pPr>
    </w:lvl>
  </w:abstractNum>
  <w:abstractNum w:abstractNumId="134">
    <w:multiLevelType w:val="singleLevel"/>
    <w:lvl w:ilvl="0">
      <w:start w:val="1"/>
      <w:numFmt w:val="lowerLetter"/>
      <w:lvlText w:val="%1."/>
      <w:pPr>
        <w:ind w:left="420" w:hanging="360"/>
      </w:pPr>
    </w:lvl>
  </w:abstractNum>
  <w:abstractNum w:abstractNumId="135">
    <w:multiLevelType w:val="singleLevel"/>
    <w:lvl w:ilvl="0">
      <w:start w:val="1"/>
      <w:numFmt w:val="upperRoman"/>
      <w:lvlText w:val="%1."/>
      <w:pPr>
        <w:ind w:left="420" w:hanging="360"/>
      </w:pPr>
    </w:lvl>
  </w:abstractNum>
  <w:abstractNum w:abstractNumId="136">
    <w:multiLevelType w:val="singleLevel"/>
    <w:lvl w:ilvl="0">
      <w:start w:val="1"/>
      <w:numFmt w:val="lowerRoman"/>
      <w:lvlText w:val="%1."/>
      <w:pPr>
        <w:ind w:left="420" w:hanging="360"/>
      </w:pPr>
    </w:lvl>
  </w:abstractNum>
  <w:abstractNum w:abstractNumId="137">
    <w:multiLevelType w:val="singleLevel"/>
    <w:lvl w:ilvl="0">
      <w:start w:val="1"/>
      <w:numFmt w:val="decimal"/>
      <w:lvlText w:val="%1."/>
      <w:pPr>
        <w:ind w:left="420" w:hanging="360"/>
      </w:pPr>
    </w:lvl>
  </w:abstractNum>
  <w:abstractNum w:abstractNumId="138">
    <w:multiLevelType w:val="singleLevel"/>
    <w:lvl w:ilvl="0">
      <w:numFmt w:val="bullet"/>
      <w:lvlText w:val="•"/>
      <w:pPr>
        <w:ind w:left="420" w:hanging="360"/>
      </w:pPr>
    </w:lvl>
  </w:abstractNum>
  <w:abstractNum w:abstractNumId="139">
    <w:multiLevelType w:val="singleLevel"/>
    <w:lvl w:ilvl="0">
      <w:numFmt w:val="bullet"/>
      <w:lvlText w:val="▪"/>
      <w:pPr>
        <w:ind w:left="420" w:hanging="360"/>
      </w:pPr>
    </w:lvl>
  </w:abstractNum>
  <w:abstractNum w:abstractNumId="140">
    <w:multiLevelType w:val="singleLevel"/>
    <w:lvl w:ilvl="0">
      <w:numFmt w:val="bullet"/>
      <w:lvlText w:val="o"/>
      <w:pPr>
        <w:ind w:left="420" w:hanging="360"/>
      </w:pPr>
    </w:lvl>
  </w:abstractNum>
  <w:abstractNum w:abstractNumId="141">
    <w:multiLevelType w:val="singleLevel"/>
    <w:lvl w:ilvl="0">
      <w:start w:val="1"/>
      <w:numFmt w:val="upperLetter"/>
      <w:lvlText w:val="%1."/>
      <w:pPr>
        <w:ind w:left="420" w:hanging="360"/>
      </w:pPr>
    </w:lvl>
  </w:abstractNum>
  <w:abstractNum w:abstractNumId="142">
    <w:multiLevelType w:val="singleLevel"/>
    <w:lvl w:ilvl="0">
      <w:start w:val="1"/>
      <w:numFmt w:val="lowerLetter"/>
      <w:lvlText w:val="%1."/>
      <w:pPr>
        <w:ind w:left="420" w:hanging="360"/>
      </w:pPr>
    </w:lvl>
  </w:abstractNum>
  <w:abstractNum w:abstractNumId="143">
    <w:multiLevelType w:val="singleLevel"/>
    <w:lvl w:ilvl="0">
      <w:start w:val="1"/>
      <w:numFmt w:val="upperRoman"/>
      <w:lvlText w:val="%1."/>
      <w:pPr>
        <w:ind w:left="420" w:hanging="360"/>
      </w:pPr>
    </w:lvl>
  </w:abstractNum>
  <w:abstractNum w:abstractNumId="144">
    <w:multiLevelType w:val="singleLevel"/>
    <w:lvl w:ilvl="0">
      <w:start w:val="1"/>
      <w:numFmt w:val="lowerRoman"/>
      <w:lvlText w:val="%1."/>
      <w:pPr>
        <w:ind w:left="420" w:hanging="360"/>
      </w:pPr>
    </w:lvl>
  </w:abstractNum>
  <w:abstractNum w:abstractNumId="145">
    <w:multiLevelType w:val="singleLevel"/>
    <w:lvl w:ilvl="0">
      <w:start w:val="1"/>
      <w:numFmt w:val="decimal"/>
      <w:lvlText w:val="%1."/>
      <w:pPr>
        <w:ind w:left="420" w:hanging="360"/>
      </w:pPr>
    </w:lvl>
  </w:abstractNum>
  <w:abstractNum w:abstractNumId="146">
    <w:multiLevelType w:val="singleLevel"/>
    <w:lvl w:ilvl="0">
      <w:numFmt w:val="bullet"/>
      <w:lvlText w:val="•"/>
      <w:pPr>
        <w:ind w:left="420" w:hanging="360"/>
      </w:pPr>
    </w:lvl>
  </w:abstractNum>
  <w:abstractNum w:abstractNumId="147">
    <w:multiLevelType w:val="singleLevel"/>
    <w:lvl w:ilvl="0">
      <w:numFmt w:val="bullet"/>
      <w:lvlText w:val="▪"/>
      <w:pPr>
        <w:ind w:left="420" w:hanging="360"/>
      </w:pPr>
    </w:lvl>
  </w:abstractNum>
  <w:abstractNum w:abstractNumId="148">
    <w:multiLevelType w:val="singleLevel"/>
    <w:lvl w:ilvl="0">
      <w:numFmt w:val="bullet"/>
      <w:lvlText w:val="o"/>
      <w:pPr>
        <w:ind w:left="420" w:hanging="360"/>
      </w:pPr>
    </w:lvl>
  </w:abstractNum>
  <w:abstractNum w:abstractNumId="149">
    <w:multiLevelType w:val="singleLevel"/>
    <w:lvl w:ilvl="0">
      <w:start w:val="1"/>
      <w:numFmt w:val="upperLetter"/>
      <w:lvlText w:val="%1."/>
      <w:pPr>
        <w:ind w:left="420" w:hanging="360"/>
      </w:pPr>
    </w:lvl>
  </w:abstractNum>
  <w:abstractNum w:abstractNumId="150">
    <w:multiLevelType w:val="singleLevel"/>
    <w:lvl w:ilvl="0">
      <w:start w:val="1"/>
      <w:numFmt w:val="lowerLetter"/>
      <w:lvlText w:val="%1."/>
      <w:pPr>
        <w:ind w:left="420" w:hanging="360"/>
      </w:pPr>
    </w:lvl>
  </w:abstractNum>
  <w:abstractNum w:abstractNumId="151">
    <w:multiLevelType w:val="singleLevel"/>
    <w:lvl w:ilvl="0">
      <w:start w:val="1"/>
      <w:numFmt w:val="upperRoman"/>
      <w:lvlText w:val="%1."/>
      <w:pPr>
        <w:ind w:left="420" w:hanging="360"/>
      </w:pPr>
    </w:lvl>
  </w:abstractNum>
  <w:abstractNum w:abstractNumId="152">
    <w:multiLevelType w:val="singleLevel"/>
    <w:lvl w:ilvl="0">
      <w:start w:val="1"/>
      <w:numFmt w:val="lowerRoman"/>
      <w:lvlText w:val="%1."/>
      <w:pPr>
        <w:ind w:left="420" w:hanging="360"/>
      </w:pPr>
    </w:lvl>
  </w:abstractNum>
  <w:abstractNum w:abstractNumId="153">
    <w:multiLevelType w:val="singleLevel"/>
    <w:lvl w:ilvl="0">
      <w:start w:val="1"/>
      <w:numFmt w:val="decimal"/>
      <w:lvlText w:val="%1."/>
      <w:pPr>
        <w:ind w:left="420" w:hanging="360"/>
      </w:pPr>
    </w:lvl>
  </w:abstractNum>
  <w:abstractNum w:abstractNumId="154">
    <w:multiLevelType w:val="singleLevel"/>
    <w:lvl w:ilvl="0">
      <w:numFmt w:val="bullet"/>
      <w:lvlText w:val="•"/>
      <w:pPr>
        <w:ind w:left="420" w:hanging="360"/>
      </w:pPr>
    </w:lvl>
  </w:abstractNum>
  <w:abstractNum w:abstractNumId="155">
    <w:multiLevelType w:val="singleLevel"/>
    <w:lvl w:ilvl="0">
      <w:numFmt w:val="bullet"/>
      <w:lvlText w:val="▪"/>
      <w:pPr>
        <w:ind w:left="420" w:hanging="360"/>
      </w:pPr>
    </w:lvl>
  </w:abstractNum>
  <w:abstractNum w:abstractNumId="156">
    <w:multiLevelType w:val="singleLevel"/>
    <w:lvl w:ilvl="0">
      <w:numFmt w:val="bullet"/>
      <w:lvlText w:val="o"/>
      <w:pPr>
        <w:ind w:left="420" w:hanging="360"/>
      </w:pPr>
    </w:lvl>
  </w:abstractNum>
  <w:abstractNum w:abstractNumId="157">
    <w:multiLevelType w:val="singleLevel"/>
    <w:lvl w:ilvl="0">
      <w:start w:val="1"/>
      <w:numFmt w:val="upperLetter"/>
      <w:lvlText w:val="%1."/>
      <w:pPr>
        <w:ind w:left="420" w:hanging="360"/>
      </w:pPr>
    </w:lvl>
  </w:abstractNum>
  <w:abstractNum w:abstractNumId="158">
    <w:multiLevelType w:val="singleLevel"/>
    <w:lvl w:ilvl="0">
      <w:start w:val="1"/>
      <w:numFmt w:val="lowerLetter"/>
      <w:lvlText w:val="%1."/>
      <w:pPr>
        <w:ind w:left="420" w:hanging="360"/>
      </w:pPr>
    </w:lvl>
  </w:abstractNum>
  <w:abstractNum w:abstractNumId="159">
    <w:multiLevelType w:val="singleLevel"/>
    <w:lvl w:ilvl="0">
      <w:start w:val="1"/>
      <w:numFmt w:val="upperRoman"/>
      <w:lvlText w:val="%1."/>
      <w:pPr>
        <w:ind w:left="420" w:hanging="360"/>
      </w:pPr>
    </w:lvl>
  </w:abstractNum>
  <w:abstractNum w:abstractNumId="160">
    <w:multiLevelType w:val="singleLevel"/>
    <w:lvl w:ilvl="0">
      <w:start w:val="1"/>
      <w:numFmt w:val="lowerRoman"/>
      <w:lvlText w:val="%1."/>
      <w:pPr>
        <w:ind w:left="420" w:hanging="360"/>
      </w:pPr>
    </w:lvl>
  </w:abstractNum>
  <w:abstractNum w:abstractNumId="161">
    <w:multiLevelType w:val="singleLevel"/>
    <w:lvl w:ilvl="0">
      <w:start w:val="1"/>
      <w:numFmt w:val="decimal"/>
      <w:lvlText w:val="%1."/>
      <w:pPr>
        <w:ind w:left="420" w:hanging="360"/>
      </w:pPr>
    </w:lvl>
  </w:abstractNum>
  <w:abstractNum w:abstractNumId="162">
    <w:multiLevelType w:val="singleLevel"/>
    <w:lvl w:ilvl="0">
      <w:numFmt w:val="bullet"/>
      <w:lvlText w:val="•"/>
      <w:pPr>
        <w:ind w:left="420" w:hanging="360"/>
      </w:pPr>
    </w:lvl>
  </w:abstractNum>
  <w:abstractNum w:abstractNumId="163">
    <w:multiLevelType w:val="singleLevel"/>
    <w:lvl w:ilvl="0">
      <w:numFmt w:val="bullet"/>
      <w:lvlText w:val="▪"/>
      <w:pPr>
        <w:ind w:left="420" w:hanging="360"/>
      </w:pPr>
    </w:lvl>
  </w:abstractNum>
  <w:abstractNum w:abstractNumId="164">
    <w:multiLevelType w:val="singleLevel"/>
    <w:lvl w:ilvl="0">
      <w:numFmt w:val="bullet"/>
      <w:lvlText w:val="o"/>
      <w:pPr>
        <w:ind w:left="420" w:hanging="360"/>
      </w:pPr>
    </w:lvl>
  </w:abstractNum>
  <w:abstractNum w:abstractNumId="165">
    <w:multiLevelType w:val="singleLevel"/>
    <w:lvl w:ilvl="0">
      <w:start w:val="1"/>
      <w:numFmt w:val="upperLetter"/>
      <w:lvlText w:val="%1."/>
      <w:pPr>
        <w:ind w:left="420" w:hanging="360"/>
      </w:pPr>
    </w:lvl>
  </w:abstractNum>
  <w:abstractNum w:abstractNumId="166">
    <w:multiLevelType w:val="singleLevel"/>
    <w:lvl w:ilvl="0">
      <w:start w:val="1"/>
      <w:numFmt w:val="lowerLetter"/>
      <w:lvlText w:val="%1."/>
      <w:pPr>
        <w:ind w:left="420" w:hanging="360"/>
      </w:pPr>
    </w:lvl>
  </w:abstractNum>
  <w:abstractNum w:abstractNumId="167">
    <w:multiLevelType w:val="singleLevel"/>
    <w:lvl w:ilvl="0">
      <w:start w:val="1"/>
      <w:numFmt w:val="upperRoman"/>
      <w:lvlText w:val="%1."/>
      <w:pPr>
        <w:ind w:left="420" w:hanging="360"/>
      </w:pPr>
    </w:lvl>
  </w:abstractNum>
  <w:abstractNum w:abstractNumId="168">
    <w:multiLevelType w:val="singleLevel"/>
    <w:lvl w:ilvl="0">
      <w:start w:val="1"/>
      <w:numFmt w:val="lowerRoman"/>
      <w:lvlText w:val="%1."/>
      <w:pPr>
        <w:ind w:left="420" w:hanging="360"/>
      </w:pPr>
    </w:lvl>
  </w:abstractNum>
  <w:abstractNum w:abstractNumId="8" w15:restartNumberingAfterBreak="0">
    <w:nsid w:val="74437C54"/>
    <w:multiLevelType w:val="hybridMultilevel"/>
    <w:tmpl w:val="51ACB4C8"/>
    <w:lvl w:ilvl="0" w:tplc="CEB45F4C">
      <w:numFmt w:val="bullet"/>
      <w:lvlText w:val="-"/>
      <w:lvlJc w:val="left"/>
      <w:pPr>
        <w:ind w:left="1512" w:hanging="360"/>
      </w:pPr>
      <w:rPr>
        <w:rFonts w:hint="default" w:ascii="Arial" w:hAnsi="Arial" w:cs="Arial" w:eastAsiaTheme="minorHAnsi"/>
      </w:rPr>
    </w:lvl>
    <w:lvl w:ilvl="1" w:tplc="04090003" w:tentative="1">
      <w:start w:val="1"/>
      <w:numFmt w:val="bullet"/>
      <w:lvlText w:val="o"/>
      <w:lvlJc w:val="left"/>
      <w:pPr>
        <w:ind w:left="2232" w:hanging="360"/>
      </w:pPr>
      <w:rPr>
        <w:rFonts w:hint="default" w:ascii="Courier New" w:hAnsi="Courier New" w:cs="Courier New"/>
      </w:rPr>
    </w:lvl>
    <w:lvl w:ilvl="2" w:tplc="04090005" w:tentative="1">
      <w:start w:val="1"/>
      <w:numFmt w:val="bullet"/>
      <w:lvlText w:val=""/>
      <w:lvlJc w:val="left"/>
      <w:pPr>
        <w:ind w:left="2952" w:hanging="360"/>
      </w:pPr>
      <w:rPr>
        <w:rFonts w:hint="default" w:ascii="Wingdings" w:hAnsi="Wingdings"/>
      </w:rPr>
    </w:lvl>
    <w:lvl w:ilvl="3" w:tplc="04090001" w:tentative="1">
      <w:start w:val="1"/>
      <w:numFmt w:val="bullet"/>
      <w:lvlText w:val=""/>
      <w:lvlJc w:val="left"/>
      <w:pPr>
        <w:ind w:left="3672" w:hanging="360"/>
      </w:pPr>
      <w:rPr>
        <w:rFonts w:hint="default" w:ascii="Symbol" w:hAnsi="Symbol"/>
      </w:rPr>
    </w:lvl>
    <w:lvl w:ilvl="4" w:tplc="04090003" w:tentative="1">
      <w:start w:val="1"/>
      <w:numFmt w:val="bullet"/>
      <w:lvlText w:val="o"/>
      <w:lvlJc w:val="left"/>
      <w:pPr>
        <w:ind w:left="4392" w:hanging="360"/>
      </w:pPr>
      <w:rPr>
        <w:rFonts w:hint="default" w:ascii="Courier New" w:hAnsi="Courier New" w:cs="Courier New"/>
      </w:rPr>
    </w:lvl>
    <w:lvl w:ilvl="5" w:tplc="04090005" w:tentative="1">
      <w:start w:val="1"/>
      <w:numFmt w:val="bullet"/>
      <w:lvlText w:val=""/>
      <w:lvlJc w:val="left"/>
      <w:pPr>
        <w:ind w:left="5112" w:hanging="360"/>
      </w:pPr>
      <w:rPr>
        <w:rFonts w:hint="default" w:ascii="Wingdings" w:hAnsi="Wingdings"/>
      </w:rPr>
    </w:lvl>
    <w:lvl w:ilvl="6" w:tplc="04090001" w:tentative="1">
      <w:start w:val="1"/>
      <w:numFmt w:val="bullet"/>
      <w:lvlText w:val=""/>
      <w:lvlJc w:val="left"/>
      <w:pPr>
        <w:ind w:left="5832" w:hanging="360"/>
      </w:pPr>
      <w:rPr>
        <w:rFonts w:hint="default" w:ascii="Symbol" w:hAnsi="Symbol"/>
      </w:rPr>
    </w:lvl>
    <w:lvl w:ilvl="7" w:tplc="04090003" w:tentative="1">
      <w:start w:val="1"/>
      <w:numFmt w:val="bullet"/>
      <w:lvlText w:val="o"/>
      <w:lvlJc w:val="left"/>
      <w:pPr>
        <w:ind w:left="6552" w:hanging="360"/>
      </w:pPr>
      <w:rPr>
        <w:rFonts w:hint="default" w:ascii="Courier New" w:hAnsi="Courier New" w:cs="Courier New"/>
      </w:rPr>
    </w:lvl>
    <w:lvl w:ilvl="8" w:tplc="04090005" w:tentative="1">
      <w:start w:val="1"/>
      <w:numFmt w:val="bullet"/>
      <w:lvlText w:val=""/>
      <w:lvlJc w:val="left"/>
      <w:pPr>
        <w:ind w:left="7272" w:hanging="360"/>
      </w:pPr>
      <w:rPr>
        <w:rFonts w:hint="default" w:ascii="Wingdings" w:hAnsi="Wingdings"/>
      </w:rPr>
    </w:lvl>
  </w:abstractNum>
  <w:num w:numId="1">
    <w:abstractNumId w:val="6"/>
  </w:num>
  <w:num w:numId="2">
    <w:abstractNumId w:val="7"/>
  </w:num>
  <w:num w:numId="3">
    <w:abstractNumId w:val="0"/>
  </w:num>
  <w:num w:numId="4">
    <w:abstractNumId w:val="1"/>
  </w:num>
  <w:num w:numId="5">
    <w:abstractNumId w:val="8"/>
  </w:num>
  <w:num w:numId="6">
    <w:abstractNumId w:val="5"/>
  </w:num>
  <w:num w:numId="7">
    <w:abstractNumId w:val="4"/>
  </w:num>
  <w:num w:numId="8">
    <w:abstractNumId w:val="3"/>
  </w:num>
  <w:num w:numId="9">
    <w:abstractNumId w:val="2"/>
  </w:num>
  <w:num w:numId="10">
    <w:abstractNumId w:val="11"/>
    <w:lvlOverride w:ilvl="0">
      <w:startOverride w:val="1"/>
    </w:lvlOverride>
  </w:num>
  <w:num w:numId="11">
    <w:abstractNumId w:val="19"/>
    <w:lvlOverride w:ilvl="0">
      <w:startOverride w:val="1"/>
    </w:lvlOverride>
  </w:num>
  <w:num w:numId="12">
    <w:abstractNumId w:val="19"/>
    <w:lvlOverride w:ilvl="0">
      <w:startOverride w:val="1"/>
    </w:lvlOverride>
  </w:num>
  <w:num w:numId="13">
    <w:abstractNumId w:val="19"/>
    <w:lvlOverride w:ilvl="0">
      <w:startOverride w:val="1"/>
    </w:lvlOverride>
  </w:num>
  <w:num w:numId="14">
    <w:abstractNumId w:val="27"/>
    <w:lvlOverride w:ilvl="0">
      <w:startOverride w:val="1"/>
    </w:lvlOverride>
  </w:num>
  <w:num w:numId="15">
    <w:abstractNumId w:val="35"/>
    <w:lvlOverride w:ilvl="0">
      <w:startOverride w:val="1"/>
    </w:lvlOverride>
  </w:num>
  <w:num w:numId="16">
    <w:abstractNumId w:val="43"/>
    <w:lvlOverride w:ilvl="0">
      <w:startOverride w:val="1"/>
    </w:lvlOverride>
  </w:num>
  <w:num w:numId="17">
    <w:abstractNumId w:val="51"/>
    <w:lvlOverride w:ilvl="0">
      <w:startOverride w:val="1"/>
    </w:lvlOverride>
  </w:num>
  <w:num w:numId="18">
    <w:abstractNumId w:val="51"/>
    <w:lvlOverride w:ilvl="0">
      <w:startOverride w:val="1"/>
    </w:lvlOverride>
  </w:num>
  <w:num w:numId="19">
    <w:abstractNumId w:val="51"/>
    <w:lvlOverride w:ilvl="0">
      <w:startOverride w:val="1"/>
    </w:lvlOverride>
  </w:num>
  <w:num w:numId="20">
    <w:abstractNumId w:val="51"/>
    <w:lvlOverride w:ilvl="0">
      <w:startOverride w:val="1"/>
    </w:lvlOverride>
  </w:num>
  <w:num w:numId="21">
    <w:abstractNumId w:val="59"/>
    <w:lvlOverride w:ilvl="0">
      <w:startOverride w:val="1"/>
    </w:lvlOverride>
  </w:num>
  <w:num w:numId="22">
    <w:abstractNumId w:val="67"/>
    <w:lvlOverride w:ilvl="0">
      <w:startOverride w:val="1"/>
    </w:lvlOverride>
  </w:num>
  <w:num w:numId="23">
    <w:abstractNumId w:val="75"/>
    <w:lvlOverride w:ilvl="0">
      <w:startOverride w:val="1"/>
    </w:lvlOverride>
  </w:num>
  <w:num w:numId="24">
    <w:abstractNumId w:val="75"/>
    <w:lvlOverride w:ilvl="0">
      <w:startOverride w:val="1"/>
    </w:lvlOverride>
  </w:num>
  <w:num w:numId="25">
    <w:abstractNumId w:val="78"/>
    <w:lvlOverride w:ilvl="0">
      <w:startOverride w:val="1"/>
    </w:lvlOverride>
  </w:num>
  <w:num w:numId="26">
    <w:abstractNumId w:val="83"/>
    <w:lvlOverride w:ilvl="0">
      <w:startOverride w:val="1"/>
    </w:lvlOverride>
  </w:num>
  <w:num w:numId="27">
    <w:abstractNumId w:val="91"/>
    <w:lvlOverride w:ilvl="0">
      <w:startOverride w:val="1"/>
    </w:lvlOverride>
  </w:num>
  <w:num w:numId="28">
    <w:abstractNumId w:val="99"/>
    <w:lvlOverride w:ilvl="0">
      <w:startOverride w:val="1"/>
    </w:lvlOverride>
  </w:num>
  <w:num w:numId="29">
    <w:abstractNumId w:val="107"/>
    <w:lvlOverride w:ilvl="0">
      <w:startOverride w:val="1"/>
    </w:lvlOverride>
  </w:num>
  <w:num w:numId="30">
    <w:abstractNumId w:val="107"/>
    <w:lvlOverride w:ilvl="0">
      <w:startOverride w:val="1"/>
    </w:lvlOverride>
  </w:num>
  <w:num w:numId="31">
    <w:abstractNumId w:val="107"/>
    <w:lvlOverride w:ilvl="0">
      <w:startOverride w:val="1"/>
    </w:lvlOverride>
  </w:num>
  <w:num w:numId="32">
    <w:abstractNumId w:val="107"/>
    <w:lvlOverride w:ilvl="0">
      <w:startOverride w:val="1"/>
    </w:lvlOverride>
  </w:num>
  <w:num w:numId="33">
    <w:abstractNumId w:val="107"/>
    <w:lvlOverride w:ilvl="0">
      <w:startOverride w:val="1"/>
    </w:lvlOverride>
  </w:num>
  <w:num w:numId="34">
    <w:abstractNumId w:val="107"/>
    <w:lvlOverride w:ilvl="0">
      <w:startOverride w:val="1"/>
    </w:lvlOverride>
  </w:num>
  <w:num w:numId="35">
    <w:abstractNumId w:val="115"/>
    <w:lvlOverride w:ilvl="0">
      <w:startOverride w:val="1"/>
    </w:lvlOverride>
  </w:num>
  <w:num w:numId="36">
    <w:abstractNumId w:val="123"/>
    <w:lvlOverride w:ilvl="0">
      <w:startOverride w:val="1"/>
    </w:lvlOverride>
  </w:num>
  <w:num w:numId="37">
    <w:abstractNumId w:val="131"/>
    <w:lvlOverride w:ilvl="0">
      <w:startOverride w:val="1"/>
    </w:lvlOverride>
  </w:num>
  <w:num w:numId="38">
    <w:abstractNumId w:val="131"/>
    <w:lvlOverride w:ilvl="0">
      <w:startOverride w:val="1"/>
    </w:lvlOverride>
  </w:num>
  <w:num w:numId="39">
    <w:abstractNumId w:val="131"/>
    <w:lvlOverride w:ilvl="0">
      <w:startOverride w:val="1"/>
    </w:lvlOverride>
  </w:num>
  <w:num w:numId="40">
    <w:abstractNumId w:val="139"/>
    <w:lvlOverride w:ilvl="0">
      <w:startOverride w:val="1"/>
    </w:lvlOverride>
  </w:num>
  <w:num w:numId="41">
    <w:abstractNumId w:val="147"/>
    <w:lvlOverride w:ilvl="0">
      <w:startOverride w:val="1"/>
    </w:lvlOverride>
  </w:num>
  <w:num w:numId="42">
    <w:abstractNumId w:val="147"/>
    <w:lvlOverride w:ilvl="0">
      <w:startOverride w:val="1"/>
    </w:lvlOverride>
  </w:num>
  <w:num w:numId="43">
    <w:abstractNumId w:val="158"/>
    <w:lvlOverride w:ilvl="0">
      <w:startOverride w:val="1"/>
    </w:lvlOverride>
  </w:num>
  <w:num w:numId="44">
    <w:abstractNumId w:val="166"/>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7873"/>
    <w:rsid w:val="0000446E"/>
    <w:rsid w:val="00026410"/>
    <w:rsid w:val="00035AF7"/>
    <w:rsid w:val="000366AE"/>
    <w:rsid w:val="00040699"/>
    <w:rsid w:val="00051AB4"/>
    <w:rsid w:val="00060DE4"/>
    <w:rsid w:val="000634B9"/>
    <w:rsid w:val="00066A43"/>
    <w:rsid w:val="00077F75"/>
    <w:rsid w:val="00093245"/>
    <w:rsid w:val="00093E1F"/>
    <w:rsid w:val="000A44E4"/>
    <w:rsid w:val="000E4E6C"/>
    <w:rsid w:val="000F4305"/>
    <w:rsid w:val="00163A87"/>
    <w:rsid w:val="001650B6"/>
    <w:rsid w:val="001802A0"/>
    <w:rsid w:val="0018699D"/>
    <w:rsid w:val="00197B2F"/>
    <w:rsid w:val="001C4022"/>
    <w:rsid w:val="001F1260"/>
    <w:rsid w:val="00206013"/>
    <w:rsid w:val="00215F7F"/>
    <w:rsid w:val="00237F85"/>
    <w:rsid w:val="002537D8"/>
    <w:rsid w:val="00277A03"/>
    <w:rsid w:val="002A08A4"/>
    <w:rsid w:val="002A465B"/>
    <w:rsid w:val="002B053B"/>
    <w:rsid w:val="002B72CF"/>
    <w:rsid w:val="002D177D"/>
    <w:rsid w:val="00301CB0"/>
    <w:rsid w:val="003338F8"/>
    <w:rsid w:val="003749B6"/>
    <w:rsid w:val="003A3B65"/>
    <w:rsid w:val="003F41D1"/>
    <w:rsid w:val="00421ABE"/>
    <w:rsid w:val="0043695D"/>
    <w:rsid w:val="00451567"/>
    <w:rsid w:val="0045175A"/>
    <w:rsid w:val="00471952"/>
    <w:rsid w:val="00485DE4"/>
    <w:rsid w:val="00490F49"/>
    <w:rsid w:val="004A2283"/>
    <w:rsid w:val="004C40D5"/>
    <w:rsid w:val="004E2B13"/>
    <w:rsid w:val="0050340E"/>
    <w:rsid w:val="00507F6E"/>
    <w:rsid w:val="00520E44"/>
    <w:rsid w:val="0053563D"/>
    <w:rsid w:val="00552AE4"/>
    <w:rsid w:val="005633FE"/>
    <w:rsid w:val="0056371E"/>
    <w:rsid w:val="00573CD0"/>
    <w:rsid w:val="005909AC"/>
    <w:rsid w:val="005938F3"/>
    <w:rsid w:val="005A12EF"/>
    <w:rsid w:val="005A1BF7"/>
    <w:rsid w:val="005F0C6B"/>
    <w:rsid w:val="005F6943"/>
    <w:rsid w:val="00652219"/>
    <w:rsid w:val="00662603"/>
    <w:rsid w:val="0066374E"/>
    <w:rsid w:val="00682D60"/>
    <w:rsid w:val="006851B1"/>
    <w:rsid w:val="006906AD"/>
    <w:rsid w:val="006B1683"/>
    <w:rsid w:val="006C0569"/>
    <w:rsid w:val="006C4214"/>
    <w:rsid w:val="006E4DBD"/>
    <w:rsid w:val="006F092A"/>
    <w:rsid w:val="006F4E12"/>
    <w:rsid w:val="00704DE8"/>
    <w:rsid w:val="00713F48"/>
    <w:rsid w:val="007336B4"/>
    <w:rsid w:val="00747611"/>
    <w:rsid w:val="007538CC"/>
    <w:rsid w:val="007541FC"/>
    <w:rsid w:val="00761F2A"/>
    <w:rsid w:val="00762FB2"/>
    <w:rsid w:val="007A0E60"/>
    <w:rsid w:val="007B5830"/>
    <w:rsid w:val="007B7254"/>
    <w:rsid w:val="007C069D"/>
    <w:rsid w:val="007F060E"/>
    <w:rsid w:val="008020A8"/>
    <w:rsid w:val="008204F5"/>
    <w:rsid w:val="008407E2"/>
    <w:rsid w:val="00853375"/>
    <w:rsid w:val="00865D16"/>
    <w:rsid w:val="00876B23"/>
    <w:rsid w:val="00896739"/>
    <w:rsid w:val="008B4BE2"/>
    <w:rsid w:val="008D09E7"/>
    <w:rsid w:val="008D564B"/>
    <w:rsid w:val="008D6B08"/>
    <w:rsid w:val="008E0D40"/>
    <w:rsid w:val="009459F9"/>
    <w:rsid w:val="0097273C"/>
    <w:rsid w:val="009860DA"/>
    <w:rsid w:val="00994FC4"/>
    <w:rsid w:val="009B5183"/>
    <w:rsid w:val="009D1541"/>
    <w:rsid w:val="009E2793"/>
    <w:rsid w:val="00A14B44"/>
    <w:rsid w:val="00A17914"/>
    <w:rsid w:val="00A33804"/>
    <w:rsid w:val="00A35C01"/>
    <w:rsid w:val="00A556C6"/>
    <w:rsid w:val="00A768A2"/>
    <w:rsid w:val="00A803CC"/>
    <w:rsid w:val="00A90B9D"/>
    <w:rsid w:val="00A966E5"/>
    <w:rsid w:val="00AB3E5E"/>
    <w:rsid w:val="00AC1559"/>
    <w:rsid w:val="00AC1F72"/>
    <w:rsid w:val="00B347E0"/>
    <w:rsid w:val="00B466E0"/>
    <w:rsid w:val="00B64E41"/>
    <w:rsid w:val="00B749D6"/>
    <w:rsid w:val="00BC16F0"/>
    <w:rsid w:val="00BC7873"/>
    <w:rsid w:val="00BD03CF"/>
    <w:rsid w:val="00BF49C6"/>
    <w:rsid w:val="00C01BE6"/>
    <w:rsid w:val="00C02BBE"/>
    <w:rsid w:val="00C303AC"/>
    <w:rsid w:val="00CA68FF"/>
    <w:rsid w:val="00CB0368"/>
    <w:rsid w:val="00CF063C"/>
    <w:rsid w:val="00D02513"/>
    <w:rsid w:val="00D36E00"/>
    <w:rsid w:val="00D41754"/>
    <w:rsid w:val="00D928B3"/>
    <w:rsid w:val="00D9752D"/>
    <w:rsid w:val="00DD06B3"/>
    <w:rsid w:val="00DD65E5"/>
    <w:rsid w:val="00DE2995"/>
    <w:rsid w:val="00E15808"/>
    <w:rsid w:val="00E31B0A"/>
    <w:rsid w:val="00E53A00"/>
    <w:rsid w:val="00E57C25"/>
    <w:rsid w:val="00E8516D"/>
    <w:rsid w:val="00E867F5"/>
    <w:rsid w:val="00E925A7"/>
    <w:rsid w:val="00EA11E4"/>
    <w:rsid w:val="00EB4E6C"/>
    <w:rsid w:val="00EB6941"/>
    <w:rsid w:val="00EC1193"/>
    <w:rsid w:val="00EE1050"/>
    <w:rsid w:val="00EF7766"/>
    <w:rsid w:val="00F02972"/>
    <w:rsid w:val="00F37251"/>
    <w:rsid w:val="00F6454F"/>
    <w:rsid w:val="00FC6796"/>
    <w:rsid w:val="00FF615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D1F7020"/>
  <w15:chartTrackingRefBased/>
  <w15:docId w15:val="{11264F3B-CA44-0D43-9F09-917800D121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semiHidden="1"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semiHidden="1" w:unhideWhenUsed="1" w:qFormat="1"/>
    <w:lsdException w:name="Intense Quote" w:uiPriority="30" w:semiHidden="1"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semiHidden="1" w:unhideWhenUsed="1" w:qFormat="1"/>
    <w:lsdException w:name="Intense Emphasis" w:uiPriority="21" w:semiHidden="1" w:unhideWhenUsed="1" w:qFormat="1"/>
    <w:lsdException w:name="Subtle Reference" w:uiPriority="31" w:semiHidden="1" w:unhideWhenUsed="1" w:qFormat="1"/>
    <w:lsdException w:name="Intense Reference" w:uiPriority="32" w:semiHidden="1" w:unhideWhenUsed="1" w:qFormat="1"/>
    <w:lsdException w:name="Book Title" w:uiPriority="33" w:semiHidden="1" w:unhideWhenUsed="1"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unhideWhenUsed/>
    <w:qFormat/>
    <w:rsid w:val="00DD65E5"/>
    <w:pPr>
      <w:spacing w:after="240" w:line="276" w:lineRule="auto"/>
    </w:pPr>
    <w:rPr>
      <w:rFonts w:ascii="Arial" w:hAnsi="Arial"/>
      <w:sz w:val="20"/>
    </w:rPr>
  </w:style>
  <w:style w:type="paragraph" w:styleId="Heading1">
    <w:name w:val="heading 1"/>
    <w:basedOn w:val="Normal"/>
    <w:next w:val="Normal"/>
    <w:link w:val="Heading1Char"/>
    <w:uiPriority w:val="9"/>
    <w:unhideWhenUsed/>
    <w:qFormat/>
    <w:rsid w:val="00E53A00"/>
    <w:pPr>
      <w:keepNext/>
      <w:keepLines/>
      <w:spacing w:before="240" w:line="240" w:lineRule="auto"/>
      <w:outlineLvl w:val="0"/>
    </w:pPr>
    <w:rPr>
      <w:rFonts w:cs="Arial" w:eastAsiaTheme="majorEastAsia"/>
      <w:b/>
      <w:color w:val="AE132A"/>
      <w:sz w:val="32"/>
      <w:szCs w:val="32"/>
    </w:rPr>
  </w:style>
  <w:style w:type="paragraph" w:styleId="Heading2">
    <w:name w:val="heading 2"/>
    <w:basedOn w:val="Normal"/>
    <w:next w:val="Normal"/>
    <w:link w:val="Heading2Char"/>
    <w:uiPriority w:val="9"/>
    <w:unhideWhenUsed/>
    <w:qFormat/>
    <w:rsid w:val="00E53A00"/>
    <w:pPr>
      <w:keepNext/>
      <w:keepLines/>
      <w:spacing w:before="240" w:after="320" w:line="240" w:lineRule="auto"/>
      <w:outlineLvl w:val="1"/>
    </w:pPr>
    <w:rPr>
      <w:rFonts w:cs="Arial" w:eastAsiaTheme="majorEastAsia"/>
      <w:color w:val="000000" w:themeColor="text1"/>
      <w:sz w:val="32"/>
      <w:szCs w:val="32"/>
    </w:rPr>
  </w:style>
  <w:style w:type="paragraph" w:styleId="Heading3">
    <w:name w:val="heading 3"/>
    <w:basedOn w:val="Heading2"/>
    <w:next w:val="Normal"/>
    <w:link w:val="Heading3Char"/>
    <w:uiPriority w:val="9"/>
    <w:unhideWhenUsed/>
    <w:qFormat/>
    <w:rsid w:val="00E53A00"/>
    <w:pPr>
      <w:outlineLvl w:val="2"/>
    </w:pPr>
    <w:rPr>
      <w:sz w:val="24"/>
      <w:szCs w:val="24"/>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PlaceholderText">
    <w:name w:val="Placeholder Text"/>
    <w:basedOn w:val="DefaultParagraphFont"/>
    <w:uiPriority w:val="99"/>
    <w:unhideWhenUsed/>
    <w:rsid w:val="00EB4E6C"/>
    <w:rPr>
      <w:color w:val="808080"/>
    </w:rPr>
  </w:style>
  <w:style w:type="paragraph" w:styleId="IndentedCopy" w:customStyle="1">
    <w:name w:val="Indented Copy"/>
    <w:qFormat/>
    <w:rsid w:val="009B5183"/>
    <w:pPr>
      <w:spacing w:before="140" w:after="140" w:line="360" w:lineRule="auto"/>
      <w:ind w:left="1008"/>
    </w:pPr>
    <w:rPr>
      <w:rFonts w:ascii="Arial" w:hAnsi="Arial" w:cs="Arial"/>
      <w:sz w:val="20"/>
      <w:szCs w:val="20"/>
    </w:rPr>
  </w:style>
  <w:style w:type="paragraph" w:styleId="Header">
    <w:name w:val="header"/>
    <w:basedOn w:val="Normal"/>
    <w:link w:val="HeaderChar"/>
    <w:uiPriority w:val="99"/>
    <w:unhideWhenUsed/>
    <w:rsid w:val="008407E2"/>
    <w:pPr>
      <w:tabs>
        <w:tab w:val="center" w:pos="4680"/>
        <w:tab w:val="right" w:pos="9360"/>
      </w:tabs>
      <w:spacing w:after="0" w:line="240" w:lineRule="auto"/>
    </w:pPr>
  </w:style>
  <w:style w:type="character" w:styleId="HeaderChar" w:customStyle="1">
    <w:name w:val="Header Char"/>
    <w:basedOn w:val="DefaultParagraphFont"/>
    <w:link w:val="Header"/>
    <w:uiPriority w:val="99"/>
    <w:rsid w:val="00DD65E5"/>
    <w:rPr>
      <w:rFonts w:ascii="Arial" w:hAnsi="Arial"/>
      <w:sz w:val="20"/>
    </w:rPr>
  </w:style>
  <w:style w:type="paragraph" w:styleId="Footer">
    <w:name w:val="footer"/>
    <w:basedOn w:val="Normal"/>
    <w:link w:val="FooterChar"/>
    <w:uiPriority w:val="99"/>
    <w:unhideWhenUsed/>
    <w:rsid w:val="008407E2"/>
    <w:pPr>
      <w:tabs>
        <w:tab w:val="center" w:pos="4680"/>
        <w:tab w:val="right" w:pos="9360"/>
      </w:tabs>
      <w:spacing w:after="0" w:line="240" w:lineRule="auto"/>
    </w:pPr>
  </w:style>
  <w:style w:type="character" w:styleId="FooterChar" w:customStyle="1">
    <w:name w:val="Footer Char"/>
    <w:basedOn w:val="DefaultParagraphFont"/>
    <w:link w:val="Footer"/>
    <w:uiPriority w:val="99"/>
    <w:rsid w:val="00DD65E5"/>
    <w:rPr>
      <w:rFonts w:ascii="Arial" w:hAnsi="Arial"/>
      <w:sz w:val="20"/>
    </w:rPr>
  </w:style>
  <w:style w:type="paragraph" w:styleId="Region" w:customStyle="1">
    <w:name w:val="Region"/>
    <w:next w:val="IndentedCopy"/>
    <w:qFormat/>
    <w:rsid w:val="00994FC4"/>
    <w:pPr>
      <w:spacing w:before="360" w:after="0"/>
      <w:ind w:left="1008"/>
    </w:pPr>
    <w:rPr>
      <w:rFonts w:ascii="Arial" w:hAnsi="Arial" w:cs="Arial"/>
      <w:b/>
      <w:color w:val="AD122A"/>
      <w:sz w:val="28"/>
      <w:szCs w:val="28"/>
    </w:rPr>
  </w:style>
  <w:style w:type="table" w:styleId="TableGrid">
    <w:name w:val="Table Grid"/>
    <w:basedOn w:val="TableNormal"/>
    <w:uiPriority w:val="39"/>
    <w:rsid w:val="006C4214"/>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NoSpacing">
    <w:name w:val="No Spacing"/>
    <w:uiPriority w:val="1"/>
    <w:unhideWhenUsed/>
    <w:qFormat/>
    <w:rsid w:val="006C4214"/>
    <w:pPr>
      <w:spacing w:after="0" w:line="240" w:lineRule="auto"/>
    </w:pPr>
  </w:style>
  <w:style w:type="paragraph" w:styleId="Table" w:customStyle="1">
    <w:name w:val="Table"/>
    <w:qFormat/>
    <w:rsid w:val="0066374E"/>
    <w:rPr>
      <w:rFonts w:ascii="Arial" w:hAnsi="Arial" w:cs="Arial"/>
      <w:sz w:val="20"/>
      <w:szCs w:val="20"/>
    </w:rPr>
  </w:style>
  <w:style w:type="paragraph" w:styleId="ListParagraph">
    <w:name w:val="List Paragraph"/>
    <w:basedOn w:val="Normal"/>
    <w:uiPriority w:val="34"/>
    <w:unhideWhenUsed/>
    <w:qFormat/>
    <w:rsid w:val="00552AE4"/>
    <w:pPr>
      <w:spacing w:line="360" w:lineRule="auto"/>
      <w:ind w:left="720"/>
      <w:contextualSpacing/>
    </w:pPr>
  </w:style>
  <w:style w:type="paragraph" w:styleId="Body" w:customStyle="1">
    <w:name w:val="Body"/>
    <w:qFormat/>
    <w:rsid w:val="00A14B44"/>
    <w:pPr>
      <w:spacing w:before="60" w:after="0"/>
    </w:pPr>
    <w:rPr>
      <w:rFonts w:ascii="Arial" w:hAnsi="Arial" w:cs="Arial"/>
      <w:sz w:val="20"/>
      <w:szCs w:val="20"/>
    </w:rPr>
  </w:style>
  <w:style w:type="paragraph" w:styleId="CoverDate" w:customStyle="1">
    <w:name w:val="CoverDate"/>
    <w:qFormat/>
    <w:rsid w:val="00A14B44"/>
    <w:pPr>
      <w:spacing w:before="240" w:after="0"/>
    </w:pPr>
    <w:rPr>
      <w:rFonts w:ascii="Arial" w:hAnsi="Arial" w:cs="Arial"/>
      <w:sz w:val="24"/>
      <w:szCs w:val="24"/>
    </w:rPr>
  </w:style>
  <w:style w:type="paragraph" w:styleId="Footertext" w:customStyle="1">
    <w:name w:val="Footer text"/>
    <w:basedOn w:val="Normal"/>
    <w:qFormat/>
    <w:rsid w:val="00040699"/>
    <w:pPr>
      <w:tabs>
        <w:tab w:val="center" w:pos="4680"/>
        <w:tab w:val="right" w:pos="9360"/>
      </w:tabs>
      <w:spacing w:after="0" w:line="240" w:lineRule="auto"/>
    </w:pPr>
    <w:rPr>
      <w:rFonts w:cs="Arial"/>
      <w:bCs/>
      <w:color w:val="AE132A"/>
      <w:sz w:val="16"/>
      <w:szCs w:val="16"/>
    </w:rPr>
  </w:style>
  <w:style w:type="paragraph" w:styleId="TOCHeading">
    <w:name w:val="TOC Heading"/>
    <w:next w:val="Normal"/>
    <w:uiPriority w:val="39"/>
    <w:unhideWhenUsed/>
    <w:qFormat/>
    <w:rsid w:val="00E53A00"/>
    <w:rPr>
      <w:rFonts w:ascii="Arial" w:hAnsi="Arial" w:eastAsiaTheme="majorEastAsia" w:cstheme="majorBidi"/>
      <w:b/>
      <w:color w:val="AE132A"/>
      <w:sz w:val="32"/>
      <w:szCs w:val="32"/>
    </w:rPr>
  </w:style>
  <w:style w:type="character" w:styleId="Heading1Char" w:customStyle="1">
    <w:name w:val="Heading 1 Char"/>
    <w:basedOn w:val="DefaultParagraphFont"/>
    <w:link w:val="Heading1"/>
    <w:uiPriority w:val="9"/>
    <w:rsid w:val="00DD65E5"/>
    <w:rPr>
      <w:rFonts w:ascii="Arial" w:hAnsi="Arial" w:cs="Arial" w:eastAsiaTheme="majorEastAsia"/>
      <w:b/>
      <w:color w:val="AE132A"/>
      <w:sz w:val="32"/>
      <w:szCs w:val="32"/>
    </w:rPr>
  </w:style>
  <w:style w:type="paragraph" w:styleId="TOC1">
    <w:name w:val="toc 1"/>
    <w:basedOn w:val="Normal"/>
    <w:next w:val="Normal"/>
    <w:autoRedefine/>
    <w:uiPriority w:val="39"/>
    <w:unhideWhenUsed/>
    <w:rsid w:val="00E53A00"/>
    <w:pPr>
      <w:spacing w:after="100"/>
    </w:pPr>
    <w:rPr>
      <w:sz w:val="16"/>
    </w:rPr>
  </w:style>
  <w:style w:type="character" w:styleId="Hyperlink">
    <w:name w:val="Hyperlink"/>
    <w:basedOn w:val="DefaultParagraphFont"/>
    <w:uiPriority w:val="99"/>
    <w:unhideWhenUsed/>
    <w:rsid w:val="008020A8"/>
    <w:rPr>
      <w:color w:val="EE3135" w:themeColor="hyperlink"/>
      <w:u w:val="single"/>
    </w:rPr>
  </w:style>
  <w:style w:type="paragraph" w:styleId="Content" w:customStyle="1">
    <w:name w:val="Content"/>
    <w:link w:val="ContentChar"/>
    <w:qFormat/>
    <w:rsid w:val="003A3B65"/>
    <w:pPr>
      <w:tabs>
        <w:tab w:val="right" w:pos="9350"/>
      </w:tabs>
    </w:pPr>
    <w:rPr>
      <w:rFonts w:ascii="Arial" w:hAnsi="Arial"/>
      <w:sz w:val="20"/>
    </w:rPr>
  </w:style>
  <w:style w:type="character" w:styleId="ContentChar" w:customStyle="1">
    <w:name w:val="Content Char"/>
    <w:basedOn w:val="DefaultParagraphFont"/>
    <w:link w:val="Content"/>
    <w:rsid w:val="003A3B65"/>
    <w:rPr>
      <w:rFonts w:ascii="Arial" w:hAnsi="Arial"/>
      <w:sz w:val="20"/>
    </w:rPr>
  </w:style>
  <w:style w:type="character" w:styleId="Strong">
    <w:name w:val="Strong"/>
    <w:basedOn w:val="DefaultParagraphFont"/>
    <w:uiPriority w:val="22"/>
    <w:unhideWhenUsed/>
    <w:qFormat/>
    <w:rsid w:val="00051AB4"/>
    <w:rPr>
      <w:b/>
      <w:bCs/>
    </w:rPr>
  </w:style>
  <w:style w:type="paragraph" w:styleId="BodyText">
    <w:name w:val="Body Text"/>
    <w:basedOn w:val="Normal"/>
    <w:link w:val="BodyTextChar"/>
    <w:uiPriority w:val="99"/>
    <w:unhideWhenUsed/>
    <w:rsid w:val="00E53A00"/>
    <w:pPr>
      <w:spacing w:line="360" w:lineRule="auto"/>
    </w:pPr>
  </w:style>
  <w:style w:type="character" w:styleId="BodyTextChar" w:customStyle="1">
    <w:name w:val="Body Text Char"/>
    <w:basedOn w:val="DefaultParagraphFont"/>
    <w:link w:val="BodyText"/>
    <w:uiPriority w:val="99"/>
    <w:rsid w:val="00DD65E5"/>
    <w:rPr>
      <w:rFonts w:ascii="Arial" w:hAnsi="Arial"/>
      <w:sz w:val="20"/>
    </w:rPr>
  </w:style>
  <w:style w:type="character" w:styleId="Heading2Char" w:customStyle="1">
    <w:name w:val="Heading 2 Char"/>
    <w:basedOn w:val="DefaultParagraphFont"/>
    <w:link w:val="Heading2"/>
    <w:uiPriority w:val="9"/>
    <w:rsid w:val="00DD65E5"/>
    <w:rPr>
      <w:rFonts w:ascii="Arial" w:hAnsi="Arial" w:cs="Arial" w:eastAsiaTheme="majorEastAsia"/>
      <w:color w:val="000000" w:themeColor="text1"/>
      <w:sz w:val="32"/>
      <w:szCs w:val="32"/>
    </w:rPr>
  </w:style>
  <w:style w:type="character" w:styleId="Heading3Char" w:customStyle="1">
    <w:name w:val="Heading 3 Char"/>
    <w:basedOn w:val="DefaultParagraphFont"/>
    <w:link w:val="Heading3"/>
    <w:uiPriority w:val="9"/>
    <w:rsid w:val="00DD65E5"/>
    <w:rPr>
      <w:rFonts w:ascii="Arial" w:hAnsi="Arial" w:cs="Arial" w:eastAsiaTheme="majorEastAsia"/>
      <w:color w:val="000000" w:themeColor="text1"/>
      <w:sz w:val="24"/>
      <w:szCs w:val="24"/>
    </w:rPr>
  </w:style>
  <w:style w:type="paragraph" w:styleId="Subtitle">
    <w:name w:val="Subtitle"/>
    <w:basedOn w:val="Normal"/>
    <w:next w:val="Normal"/>
    <w:link w:val="SubtitleChar"/>
    <w:uiPriority w:val="11"/>
    <w:unhideWhenUsed/>
    <w:qFormat/>
    <w:rsid w:val="00E53A00"/>
    <w:pPr>
      <w:numPr>
        <w:ilvl w:val="1"/>
      </w:numPr>
      <w:spacing w:before="2400" w:after="480"/>
    </w:pPr>
    <w:rPr>
      <w:rFonts w:eastAsiaTheme="minorEastAsia"/>
      <w:color w:val="000000" w:themeColor="text1"/>
      <w:sz w:val="44"/>
    </w:rPr>
  </w:style>
  <w:style w:type="character" w:styleId="SubtitleChar" w:customStyle="1">
    <w:name w:val="Subtitle Char"/>
    <w:basedOn w:val="DefaultParagraphFont"/>
    <w:link w:val="Subtitle"/>
    <w:uiPriority w:val="11"/>
    <w:rsid w:val="00DD65E5"/>
    <w:rPr>
      <w:rFonts w:ascii="Arial" w:hAnsi="Arial" w:eastAsiaTheme="minorEastAsia"/>
      <w:color w:val="000000" w:themeColor="text1"/>
      <w:sz w:val="44"/>
    </w:rPr>
  </w:style>
  <w:style w:type="paragraph" w:styleId="Title">
    <w:name w:val="Title"/>
    <w:basedOn w:val="Normal"/>
    <w:next w:val="Normal"/>
    <w:link w:val="TitleChar"/>
    <w:autoRedefine/>
    <w:uiPriority w:val="10"/>
    <w:unhideWhenUsed/>
    <w:qFormat/>
    <w:rsid w:val="00E53A00"/>
    <w:pPr>
      <w:spacing w:before="840" w:after="0" w:line="240" w:lineRule="auto"/>
      <w:contextualSpacing/>
    </w:pPr>
    <w:rPr>
      <w:rFonts w:ascii="Arial Bold" w:hAnsi="Arial Bold" w:eastAsiaTheme="majorEastAsia" w:cstheme="majorBidi"/>
      <w:b/>
      <w:kern w:val="28"/>
      <w:sz w:val="44"/>
      <w:szCs w:val="56"/>
    </w:rPr>
  </w:style>
  <w:style w:type="character" w:styleId="TitleChar" w:customStyle="1">
    <w:name w:val="Title Char"/>
    <w:basedOn w:val="DefaultParagraphFont"/>
    <w:link w:val="Title"/>
    <w:uiPriority w:val="10"/>
    <w:rsid w:val="00DD65E5"/>
    <w:rPr>
      <w:rFonts w:ascii="Arial Bold" w:hAnsi="Arial Bold" w:eastAsiaTheme="majorEastAsia" w:cstheme="majorBidi"/>
      <w:b/>
      <w:kern w:val="28"/>
      <w:sz w:val="44"/>
      <w:szCs w:val="56"/>
    </w:rPr>
  </w:style>
  <w:style w:type="paragraph" w:styleId="Disclaimer" w:customStyle="1">
    <w:name w:val="Disclaimer"/>
    <w:basedOn w:val="BodyText"/>
    <w:qFormat/>
    <w:rsid w:val="00040699"/>
    <w:rPr>
      <w:sz w:val="16"/>
    </w:rPr>
  </w:style>
  <w:style w:type="paragraph" w:styleId="TOC2">
    <w:name w:val="toc 2"/>
    <w:basedOn w:val="Normal"/>
    <w:next w:val="Normal"/>
    <w:autoRedefine/>
    <w:uiPriority w:val="39"/>
    <w:unhideWhenUsed/>
    <w:rsid w:val="00AC1F72"/>
    <w:pPr>
      <w:spacing w:after="100"/>
      <w:ind w:left="200"/>
    </w:pPr>
    <w:rPr>
      <w:sz w:val="16"/>
    </w:rPr>
  </w:style>
  <w:style w:type="paragraph" w:styleId="TOC3">
    <w:name w:val="toc 3"/>
    <w:basedOn w:val="Normal"/>
    <w:next w:val="Normal"/>
    <w:autoRedefine/>
    <w:uiPriority w:val="39"/>
    <w:unhideWhenUsed/>
    <w:rsid w:val="00AC1F72"/>
    <w:pPr>
      <w:spacing w:after="100"/>
      <w:ind w:left="400"/>
    </w:pPr>
    <w:rPr>
      <w:sz w:val="16"/>
    </w:rPr>
  </w:style>
  <w:style w:type="paragraph" w:styleId="TOC4">
    <w:name w:val="toc 4"/>
    <w:basedOn w:val="Normal"/>
    <w:next w:val="Normal"/>
    <w:autoRedefine/>
    <w:uiPriority w:val="39"/>
    <w:semiHidden/>
    <w:unhideWhenUsed/>
    <w:rsid w:val="00AC1F72"/>
    <w:pPr>
      <w:spacing w:after="100"/>
      <w:ind w:left="600"/>
    </w:pPr>
    <w:rPr>
      <w:sz w:val="16"/>
    </w:rPr>
  </w:style>
  <w:style w:type="paragraph" w:styleId="TOC5">
    <w:name w:val="toc 5"/>
    <w:basedOn w:val="Normal"/>
    <w:next w:val="Normal"/>
    <w:autoRedefine/>
    <w:uiPriority w:val="39"/>
    <w:semiHidden/>
    <w:unhideWhenUsed/>
    <w:rsid w:val="00AC1F72"/>
    <w:pPr>
      <w:spacing w:after="100"/>
      <w:ind w:left="800"/>
    </w:pPr>
    <w:rPr>
      <w:sz w:val="16"/>
    </w:rPr>
  </w:style>
  <w:style w:type="paragraph" w:styleId="TOC6">
    <w:name w:val="toc 6"/>
    <w:basedOn w:val="Normal"/>
    <w:next w:val="Normal"/>
    <w:autoRedefine/>
    <w:uiPriority w:val="39"/>
    <w:semiHidden/>
    <w:unhideWhenUsed/>
    <w:rsid w:val="00AC1F72"/>
    <w:pPr>
      <w:spacing w:after="100"/>
      <w:ind w:left="1000"/>
    </w:pPr>
    <w:rPr>
      <w:sz w:val="16"/>
    </w:rPr>
  </w:style>
  <w:style w:type="numbering" w:styleId="1aiA" w:customStyle="1">
    <w:name w:val="1. / (a) / (i) / (A)"/>
    <w:uiPriority w:val="99"/>
    <w:rsid w:val="0000446E"/>
    <w:pPr>
      <w:numPr>
        <w:numId w:val="7"/>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489277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1.xml" Id="rId13" /><Relationship Type="http://schemas.openxmlformats.org/officeDocument/2006/relationships/footer" Target="footer3.xml" Id="rId18" /><Relationship Type="http://schemas.openxmlformats.org/officeDocument/2006/relationships/customXml" Target="../customXml/item3.xml" Id="rId3" /><Relationship Type="http://schemas.openxmlformats.org/officeDocument/2006/relationships/theme" Target="theme/theme1.xml" Id="rId21" /><Relationship Type="http://schemas.openxmlformats.org/officeDocument/2006/relationships/styles" Target="styles.xml" Id="rId7" /><Relationship Type="http://schemas.openxmlformats.org/officeDocument/2006/relationships/image" Target="media/image1.png" Id="rId12" /><Relationship Type="http://schemas.openxmlformats.org/officeDocument/2006/relationships/header" Target="header3.xml" Id="rId17" /><Relationship Type="http://schemas.openxmlformats.org/officeDocument/2006/relationships/customXml" Target="../customXml/item2.xml" Id="rId2" /><Relationship Type="http://schemas.openxmlformats.org/officeDocument/2006/relationships/footer" Target="footer2.xml" Id="rId16" /><Relationship Type="http://schemas.openxmlformats.org/officeDocument/2006/relationships/glossaryDocument" Target="glossary/document.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1.xml" Id="rId15" /><Relationship Type="http://schemas.openxmlformats.org/officeDocument/2006/relationships/footnotes" Target="footnotes.xml" Id="rId10" /><Relationship Type="http://schemas.openxmlformats.org/officeDocument/2006/relationships/fontTable" Target="fontTable.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header" Target="header2.xml" Id="rId14" /><Relationship Type="http://schemas.openxmlformats.org/officeDocument/2006/relationships/image" Target="/media/image.jpg" Id="R72fa2fe5dfa140fd" /><Relationship Type="http://schemas.openxmlformats.org/officeDocument/2006/relationships/image" Target="/media/image2.jpg" Id="R46e86a4479d946ea" /><Relationship Type="http://schemas.openxmlformats.org/officeDocument/2006/relationships/image" Target="/media/image3.jpg" Id="Ref83b62f77234ad6" /><Relationship Type="http://schemas.openxmlformats.org/officeDocument/2006/relationships/hyperlink" Target="https://resourcehub.bakermckenzie.com/en/-/media/fighting-domestic-violence/reports/reports/2021_fdv_south-africa.pdf?rev=9c7cf5b21f4541d0b803923034c828be&amp;sc_lang=en" TargetMode="External" Id="R2c04474acc0946b9" /><Relationship Type="http://schemas.openxmlformats.org/officeDocument/2006/relationships/image" Target="/media/image4.jpg" Id="R92156d745dfa4665" /><Relationship Type="http://schemas.openxmlformats.org/officeDocument/2006/relationships/hyperlink" Target="https://au.int/sites/default/files/treaties/37077-sl-PROTOCOL%20TO%20THE%20AFRICAN%20CHARTER%20ON%20HUMAN%20AND%20PEOPLE%27S%20RIGHTS%20ON%20THE%20RIGHTS%20OF%20WOMEN%20IN%20AFRICA.pdf?_sm_au_=iVVktTrjStPMWM5jKkM6NKsW8f6TG" TargetMode="External" Id="R15572d53c3eb4d58" /><Relationship Type="http://schemas.openxmlformats.org/officeDocument/2006/relationships/hyperlink" Target="https://treaties.un.org/Pages/ViewDetails.aspx?src=TREATY&amp;amp;mtdsg_no=IV-8&amp;amp;chapter=4&amp;amp;lang=en" TargetMode="External" Id="R5c600d624bb647cc" /><Relationship Type="http://schemas.openxmlformats.org/officeDocument/2006/relationships/hyperlink" Target="https://www.saps.gov.za/services/protection_order.php" TargetMode="External" Id="R56c7808cd20a4ba1" /><Relationship Type="http://schemas.openxmlformats.org/officeDocument/2006/relationships/hyperlink" Target="http://www.justice.gov.za/juscol/docs/article-02.html" TargetMode="External" Id="R1aa994bbff004b32" /><Relationship Type="http://schemas.openxmlformats.org/officeDocument/2006/relationships/hyperlink" Target="https://www.justice.gov.za/forms/form_dva.htm" TargetMode="External" Id="R96e5c5f2d07f472d" /><Relationship Type="http://schemas.openxmlformats.org/officeDocument/2006/relationships/hyperlink" Target="https://www.justice.gov.za/forms/dva/dva_form%2002.pdf" TargetMode="External" Id="R53323b73a24b42ce" /><Relationship Type="http://schemas.openxmlformats.org/officeDocument/2006/relationships/hyperlink" Target="https://www.justice.gov.za/vg/dv-faq.html" TargetMode="External" Id="R39e304b3bb504b95" /><Relationship Type="http://schemas.openxmlformats.org/officeDocument/2006/relationships/hyperlink" Target="https://www.up.ac.za/speakoutup/article/2383078/what-is-consent" TargetMode="External" Id="Rbfae564e3dec4af4" /><Relationship Type="http://schemas.openxmlformats.org/officeDocument/2006/relationships/hyperlink" Target="https://www.npa.gov.za/sites/default/files/resources/public_awareness/victims_charter.pdf" TargetMode="External" Id="R3e7940de17054727" /><Relationship Type="http://schemas.openxmlformats.org/officeDocument/2006/relationships/hyperlink" Target="https://www.gov.za/documents/employment-equity-act-code-good-practice-handling-sexual-harassment-cases-workplaces" TargetMode="External" Id="R59fec47b64924dad" /><Relationship Type="http://schemas.openxmlformats.org/officeDocument/2006/relationships/hyperlink" Target="https://www.sahrc.org.za/home/21/files/SAHRC%20GBV%20Research%20Brief%20Publication.pdf" TargetMode="External" Id="R9514638492db4597" /><Relationship Type="http://schemas.openxmlformats.org/officeDocument/2006/relationships/hyperlink" Target="https://za.boell.org/sites/default/files/uploads/2013/10/criminaljusticeresponses-assessingimplimentationofdvaingauteng.pdf" TargetMode="External" Id="Rb7fc909dd1394421" /><Relationship Type="http://schemas.openxmlformats.org/officeDocument/2006/relationships/hyperlink" Target="https://www.justice.gov.za/legislation/acts/1977-051.pdf" TargetMode="External" Id="R075a31293a1e40be" /><Relationship Type="http://schemas.openxmlformats.org/officeDocument/2006/relationships/hyperlink" Target="https://www.justice.gov.za/forms/dva/dva_form%2002.pdf" TargetMode="External" Id="R58d6e722fd5243e3" /><Relationship Type="http://schemas.openxmlformats.org/officeDocument/2006/relationships/hyperlink" Target="https://www.justice.gov.za/docs/InfoSheets/2014-protection_order.pdf" TargetMode="External" Id="Rffb768ee10084344" /><Relationship Type="http://schemas.openxmlformats.org/officeDocument/2006/relationships/hyperlink" Target="https://www.justice.gov.za/vg/dv-faq.html" TargetMode="External" Id="R238d417f4f544519" /><Relationship Type="http://schemas.openxmlformats.org/officeDocument/2006/relationships/hyperlink" Target="https://www.legalwise.co.za/help-yourself/quicklaw-guides/domestic-violence-protection-orders" TargetMode="External" Id="Rf7755edad3e24258" /><Relationship Type="http://schemas.openxmlformats.org/officeDocument/2006/relationships/hyperlink" Target="https://www.statssa.gov.za/publications/Report-03-40-05/Report-03-40-05June2018.pdf" TargetMode="External" Id="R3cc0e728c55f48d9" /><Relationship Type="http://schemas.openxmlformats.org/officeDocument/2006/relationships/hyperlink" Target="https://www.saps.gov.za/services/protection_order.php" TargetMode="External" Id="R3b96ec2a03944567" /><Relationship Type="http://schemas.openxmlformats.org/officeDocument/2006/relationships/hyperlink" Target="https://en.wikipedia.org/wiki/Sexual_intercourse" TargetMode="External" Id="R5a0d5580e8b04eec" /><Relationship Type="http://schemas.openxmlformats.org/officeDocument/2006/relationships/hyperlink" Target="https://en.wikipedia.org/wiki/Consent" TargetMode="External" Id="R843f3d5bb7b944ee" /></Relationships>
</file>

<file path=word/_rels/header2.xml.rels><?xml version="1.0" encoding="UTF-8" standalone="yes"?>
<Relationships xmlns="http://schemas.openxmlformats.org/package/2006/relationships"><Relationship Id="rId2" Type="http://schemas.openxmlformats.org/officeDocument/2006/relationships/image" Target="media/image3.sv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2" Type="http://schemas.openxmlformats.org/officeDocument/2006/relationships/image" Target="media/image3.svg"/><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518B4A5F-AA5F-476D-882A-0A7EA0CE4B65}"/>
      </w:docPartPr>
      <w:docPartBody>
        <w:p w:rsidR="00F534C2" w:rsidRDefault="00221808">
          <w:r w:rsidRPr="0077679D">
            <w:rPr>
              <w:rStyle w:val="PlaceholderText"/>
            </w:rPr>
            <w:t>Click or tap here to enter text.</w:t>
          </w:r>
        </w:p>
      </w:docPartBody>
    </w:docPart>
    <w:docPart>
      <w:docPartPr>
        <w:name w:val="A0AF05CB778C40DAA132D9B1AC8EB97E"/>
        <w:category>
          <w:name w:val="General"/>
          <w:gallery w:val="placeholder"/>
        </w:category>
        <w:types>
          <w:type w:val="bbPlcHdr"/>
        </w:types>
        <w:behaviors>
          <w:behavior w:val="content"/>
        </w:behaviors>
        <w:guid w:val="{66F167DE-438C-4B3F-AD73-40CDEEEF1E0F}"/>
      </w:docPartPr>
      <w:docPartBody>
        <w:p w:rsidR="005E6147" w:rsidRDefault="008C39EF" w:rsidP="008C39EF">
          <w:pPr>
            <w:pStyle w:val="A0AF05CB778C40DAA132D9B1AC8EB97E"/>
          </w:pPr>
          <w:r w:rsidRPr="0077679D">
            <w:rPr>
              <w:rStyle w:val="PlaceholderText"/>
            </w:rPr>
            <w:t>Click or tap here to enter text.</w:t>
          </w:r>
        </w:p>
      </w:docPartBody>
    </w:docPart>
    <w:docPart>
      <w:docPartPr>
        <w:name w:val="3816F6170ABC43BCBDB278015F7ED7B2"/>
        <w:category>
          <w:name w:val="General"/>
          <w:gallery w:val="placeholder"/>
        </w:category>
        <w:types>
          <w:type w:val="bbPlcHdr"/>
        </w:types>
        <w:behaviors>
          <w:behavior w:val="content"/>
        </w:behaviors>
        <w:guid w:val="{4809D032-F599-425F-B2DD-5DF71B222145}"/>
      </w:docPartPr>
      <w:docPartBody>
        <w:p w:rsidR="005E6147" w:rsidRDefault="008C39EF" w:rsidP="008C39EF">
          <w:pPr>
            <w:pStyle w:val="3816F6170ABC43BCBDB278015F7ED7B2"/>
          </w:pPr>
          <w:r w:rsidRPr="0077679D">
            <w:rPr>
              <w:rStyle w:val="PlaceholderText"/>
            </w:rPr>
            <w:t>Enter any content that you want to repeat, including other content controls. You can also insert this control around table rows in order to repeat parts of a table.</w:t>
          </w:r>
        </w:p>
      </w:docPartBody>
    </w:docPart>
    <w:docPart>
      <w:docPartPr>
        <w:name w:val="D4BEECC0959C48F1AA1D9A0CCEB1EE0D"/>
        <w:category>
          <w:name w:val="General"/>
          <w:gallery w:val="placeholder"/>
        </w:category>
        <w:types>
          <w:type w:val="bbPlcHdr"/>
        </w:types>
        <w:behaviors>
          <w:behavior w:val="content"/>
        </w:behaviors>
        <w:guid w:val="{6187ABCF-F968-45DE-BC87-9BF4ACD202EC}"/>
      </w:docPartPr>
      <w:docPartBody>
        <w:p w:rsidR="005E6147" w:rsidRDefault="008C39EF" w:rsidP="008C39EF">
          <w:pPr>
            <w:pStyle w:val="D4BEECC0959C48F1AA1D9A0CCEB1EE0D"/>
          </w:pPr>
          <w:r w:rsidRPr="0077679D">
            <w:rPr>
              <w:rStyle w:val="PlaceholderText"/>
            </w:rPr>
            <w:t>Click or tap here to enter text.</w:t>
          </w:r>
        </w:p>
      </w:docPartBody>
    </w:docPart>
    <w:docPart>
      <w:docPartPr>
        <w:name w:val="7A3271F1CA7B4758B07266E2255DBF5C"/>
        <w:category>
          <w:name w:val="General"/>
          <w:gallery w:val="placeholder"/>
        </w:category>
        <w:types>
          <w:type w:val="bbPlcHdr"/>
        </w:types>
        <w:behaviors>
          <w:behavior w:val="content"/>
        </w:behaviors>
        <w:guid w:val="{48FD75EC-026E-46C8-A825-A2E99CC5DE7C}"/>
      </w:docPartPr>
      <w:docPartBody>
        <w:p w:rsidR="005E6147" w:rsidRDefault="008C39EF" w:rsidP="008C39EF">
          <w:pPr>
            <w:pStyle w:val="7A3271F1CA7B4758B07266E2255DBF5C"/>
          </w:pPr>
          <w:r w:rsidRPr="0077679D">
            <w:rPr>
              <w:rStyle w:val="PlaceholderText"/>
            </w:rPr>
            <w:t>Click or tap here to enter text.</w:t>
          </w:r>
        </w:p>
      </w:docPartBody>
    </w:docPart>
    <w:docPart>
      <w:docPartPr>
        <w:name w:val="21EB74C42DC04B5E95018E132FDE3B56"/>
        <w:category>
          <w:name w:val="General"/>
          <w:gallery w:val="placeholder"/>
        </w:category>
        <w:types>
          <w:type w:val="bbPlcHdr"/>
        </w:types>
        <w:behaviors>
          <w:behavior w:val="content"/>
        </w:behaviors>
        <w:guid w:val="{8631C0F4-0533-4F81-BE94-6ABDE84232CD}"/>
      </w:docPartPr>
      <w:docPartBody>
        <w:p w:rsidR="005E6147" w:rsidRDefault="008C39EF" w:rsidP="008C39EF">
          <w:pPr>
            <w:pStyle w:val="21EB74C42DC04B5E95018E132FDE3B56"/>
          </w:pPr>
          <w:r w:rsidRPr="0077679D">
            <w:rPr>
              <w:rStyle w:val="PlaceholderText"/>
            </w:rPr>
            <w:t>Enter any content that you want to repeat, including other content controls. You can also insert this control around table rows in order to repeat parts of a table.</w:t>
          </w:r>
        </w:p>
      </w:docPartBody>
    </w:docPart>
    <w:docPart>
      <w:docPartPr>
        <w:name w:val="6DD963B540C343C08613D2C5F772A932"/>
        <w:category>
          <w:name w:val="General"/>
          <w:gallery w:val="placeholder"/>
        </w:category>
        <w:types>
          <w:type w:val="bbPlcHdr"/>
        </w:types>
        <w:behaviors>
          <w:behavior w:val="content"/>
        </w:behaviors>
        <w:guid w:val="{1D68D44D-DB56-46E8-8E6F-AC3134C9ADAC}"/>
      </w:docPartPr>
      <w:docPartBody>
        <w:p w:rsidR="005E6147" w:rsidRDefault="008C39EF" w:rsidP="008C39EF">
          <w:pPr>
            <w:pStyle w:val="6DD963B540C343C08613D2C5F772A932"/>
          </w:pPr>
          <w:r w:rsidRPr="0077679D">
            <w:rPr>
              <w:rStyle w:val="PlaceholderText"/>
            </w:rPr>
            <w:t>Click or tap here to enter text.</w:t>
          </w:r>
        </w:p>
      </w:docPartBody>
    </w:docPart>
    <w:docPart>
      <w:docPartPr>
        <w:name w:val="DefaultPlaceholder_-1854013435"/>
        <w:category>
          <w:name w:val="General"/>
          <w:gallery w:val="placeholder"/>
        </w:category>
        <w:types>
          <w:type w:val="bbPlcHdr"/>
        </w:types>
        <w:behaviors>
          <w:behavior w:val="content"/>
        </w:behaviors>
        <w:guid w:val="{82C5090A-F1DB-4637-95F2-9607D8ECEBB1}"/>
      </w:docPartPr>
      <w:docPartBody>
        <w:p w:rsidR="008E2F4A" w:rsidRDefault="003B4B66">
          <w:r w:rsidRPr="00051056">
            <w:rPr>
              <w:rStyle w:val="PlaceholderText"/>
            </w:rPr>
            <w:t>Enter any content that you want to repeat, including other content controls. You can also insert this control around table rows in order to repeat parts of a table.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Bold">
    <w:panose1 w:val="00000000000000000000"/>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1808"/>
    <w:rsid w:val="00062ADE"/>
    <w:rsid w:val="00065653"/>
    <w:rsid w:val="000C59AA"/>
    <w:rsid w:val="00145D6B"/>
    <w:rsid w:val="00151DBE"/>
    <w:rsid w:val="00177734"/>
    <w:rsid w:val="00181E6F"/>
    <w:rsid w:val="001B4209"/>
    <w:rsid w:val="001B645C"/>
    <w:rsid w:val="00221808"/>
    <w:rsid w:val="002A1718"/>
    <w:rsid w:val="00354BBB"/>
    <w:rsid w:val="003B4B66"/>
    <w:rsid w:val="00571892"/>
    <w:rsid w:val="005E6147"/>
    <w:rsid w:val="007C533E"/>
    <w:rsid w:val="00870C2F"/>
    <w:rsid w:val="008C1645"/>
    <w:rsid w:val="008C39EF"/>
    <w:rsid w:val="008E2F4A"/>
    <w:rsid w:val="008F2DC5"/>
    <w:rsid w:val="00990F10"/>
    <w:rsid w:val="00B74E77"/>
    <w:rsid w:val="00D14D23"/>
    <w:rsid w:val="00DB1076"/>
    <w:rsid w:val="00E16C5A"/>
    <w:rsid w:val="00E45A92"/>
    <w:rsid w:val="00E9125D"/>
    <w:rsid w:val="00ED015A"/>
    <w:rsid w:val="00F078AC"/>
    <w:rsid w:val="00F534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3B4B66"/>
    <w:rPr>
      <w:color w:val="808080"/>
    </w:rPr>
  </w:style>
  <w:style w:type="paragraph" w:customStyle="1" w:styleId="A0AF05CB778C40DAA132D9B1AC8EB97E">
    <w:name w:val="A0AF05CB778C40DAA132D9B1AC8EB97E"/>
    <w:rsid w:val="008C39EF"/>
  </w:style>
  <w:style w:type="paragraph" w:customStyle="1" w:styleId="3816F6170ABC43BCBDB278015F7ED7B2">
    <w:name w:val="3816F6170ABC43BCBDB278015F7ED7B2"/>
    <w:rsid w:val="008C39EF"/>
  </w:style>
  <w:style w:type="paragraph" w:customStyle="1" w:styleId="D4BEECC0959C48F1AA1D9A0CCEB1EE0D">
    <w:name w:val="D4BEECC0959C48F1AA1D9A0CCEB1EE0D"/>
    <w:rsid w:val="008C39EF"/>
  </w:style>
  <w:style w:type="paragraph" w:customStyle="1" w:styleId="7A3271F1CA7B4758B07266E2255DBF5C">
    <w:name w:val="7A3271F1CA7B4758B07266E2255DBF5C"/>
    <w:rsid w:val="008C39EF"/>
  </w:style>
  <w:style w:type="paragraph" w:customStyle="1" w:styleId="21EB74C42DC04B5E95018E132FDE3B56">
    <w:name w:val="21EB74C42DC04B5E95018E132FDE3B56"/>
    <w:rsid w:val="008C39EF"/>
  </w:style>
  <w:style w:type="paragraph" w:customStyle="1" w:styleId="6DD963B540C343C08613D2C5F772A932">
    <w:name w:val="6DD963B540C343C08613D2C5F772A932"/>
    <w:rsid w:val="008C39E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Baker McKenzie">
      <a:dk1>
        <a:srgbClr val="000000"/>
      </a:dk1>
      <a:lt1>
        <a:srgbClr val="FFFFFF"/>
      </a:lt1>
      <a:dk2>
        <a:srgbClr val="C2C3C4"/>
      </a:dk2>
      <a:lt2>
        <a:srgbClr val="5F5F5F"/>
      </a:lt2>
      <a:accent1>
        <a:srgbClr val="EE3135"/>
      </a:accent1>
      <a:accent2>
        <a:srgbClr val="AE132A"/>
      </a:accent2>
      <a:accent3>
        <a:srgbClr val="7A0223"/>
      </a:accent3>
      <a:accent4>
        <a:srgbClr val="002856"/>
      </a:accent4>
      <a:accent5>
        <a:srgbClr val="F58220"/>
      </a:accent5>
      <a:accent6>
        <a:srgbClr val="007B66"/>
      </a:accent6>
      <a:hlink>
        <a:srgbClr val="EE3135"/>
      </a:hlink>
      <a:folHlink>
        <a:srgbClr val="EE3135"/>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2020-01-17T00:00:00</PublishDate>
  <Abstract/>
  <CompanyAddress/>
  <CompanyPhone/>
  <CompanyFax/>
  <CompanyEmail/>
</CoverPageProperties>
</file>

<file path=customXml/item2.xml><?xml version="1.0" encoding="utf-8"?>
<p:properties xmlns:p="http://schemas.microsoft.com/office/2006/metadata/properties" xmlns:xsi="http://www.w3.org/2001/XMLSchema-instance" xmlns:pc="http://schemas.microsoft.com/office/infopath/2007/PartnerControls">
  <documentManagement>
    <MigrationWizIdPermissionLevels xmlns="ddd3adf8-e9ce-43fc-b18f-f114bb3bf01b" xsi:nil="true"/>
    <MigrationWizId xmlns="ddd3adf8-e9ce-43fc-b18f-f114bb3bf01b" xsi:nil="true"/>
    <MigrationWizIdPermissions xmlns="ddd3adf8-e9ce-43fc-b18f-f114bb3bf01b" xsi:nil="true"/>
    <MigrationWizIdDocumentLibraryPermissions xmlns="ddd3adf8-e9ce-43fc-b18f-f114bb3bf01b" xsi:nil="true"/>
    <MigrationWizIdSecurityGroups xmlns="ddd3adf8-e9ce-43fc-b18f-f114bb3bf01b"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CA4B400A3AA37244823AD8DC1C6835A7" ma:contentTypeVersion="16" ma:contentTypeDescription="Create a new document." ma:contentTypeScope="" ma:versionID="48d3fb8d77d5908ea14343df2489da8d">
  <xsd:schema xmlns:xsd="http://www.w3.org/2001/XMLSchema" xmlns:xs="http://www.w3.org/2001/XMLSchema" xmlns:p="http://schemas.microsoft.com/office/2006/metadata/properties" xmlns:ns2="ddd3adf8-e9ce-43fc-b18f-f114bb3bf01b" xmlns:ns3="fa387d1b-7b7d-44fe-8810-fc812ae8cc12" targetNamespace="http://schemas.microsoft.com/office/2006/metadata/properties" ma:root="true" ma:fieldsID="f238a5b439a87a6f33fc1b70cce05a38" ns2:_="" ns3:_="">
    <xsd:import namespace="ddd3adf8-e9ce-43fc-b18f-f114bb3bf01b"/>
    <xsd:import namespace="fa387d1b-7b7d-44fe-8810-fc812ae8cc12"/>
    <xsd:element name="properties">
      <xsd:complexType>
        <xsd:sequence>
          <xsd:element name="documentManagement">
            <xsd:complexType>
              <xsd:all>
                <xsd:element ref="ns2:MigrationWizId" minOccurs="0"/>
                <xsd:element ref="ns2:MigrationWizIdPermissions" minOccurs="0"/>
                <xsd:element ref="ns2:MigrationWizIdPermissionLevels" minOccurs="0"/>
                <xsd:element ref="ns2:MigrationWizIdDocumentLibraryPermissions" minOccurs="0"/>
                <xsd:element ref="ns2:MigrationWizIdSecurityGroups" minOccurs="0"/>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dd3adf8-e9ce-43fc-b18f-f114bb3bf01b" elementFormDefault="qualified">
    <xsd:import namespace="http://schemas.microsoft.com/office/2006/documentManagement/types"/>
    <xsd:import namespace="http://schemas.microsoft.com/office/infopath/2007/PartnerControls"/>
    <xsd:element name="MigrationWizId" ma:index="8" nillable="true" ma:displayName="MigrationWizId" ma:internalName="MigrationWizId">
      <xsd:simpleType>
        <xsd:restriction base="dms:Text"/>
      </xsd:simpleType>
    </xsd:element>
    <xsd:element name="MigrationWizIdPermissions" ma:index="9" nillable="true" ma:displayName="MigrationWizIdPermissions" ma:internalName="MigrationWizIdPermissions">
      <xsd:simpleType>
        <xsd:restriction base="dms:Text"/>
      </xsd:simpleType>
    </xsd:element>
    <xsd:element name="MigrationWizIdPermissionLevels" ma:index="10" nillable="true" ma:displayName="MigrationWizIdPermissionLevels" ma:internalName="MigrationWizIdPermissionLevels">
      <xsd:simpleType>
        <xsd:restriction base="dms:Text"/>
      </xsd:simpleType>
    </xsd:element>
    <xsd:element name="MigrationWizIdDocumentLibraryPermissions" ma:index="11" nillable="true" ma:displayName="MigrationWizIdDocumentLibraryPermissions" ma:internalName="MigrationWizIdDocumentLibraryPermissions">
      <xsd:simpleType>
        <xsd:restriction base="dms:Text"/>
      </xsd:simpleType>
    </xsd:element>
    <xsd:element name="MigrationWizIdSecurityGroups" ma:index="12" nillable="true" ma:displayName="MigrationWizIdSecurityGroups" ma:internalName="MigrationWizIdSecurityGroups">
      <xsd:simpleType>
        <xsd:restriction base="dms:Text"/>
      </xsd:simpleType>
    </xsd:element>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AutoTags" ma:index="17" nillable="true" ma:displayName="Tags" ma:internalName="MediaServiceAutoTags"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ternalName="MediaServiceDateTaken"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a387d1b-7b7d-44fe-8810-fc812ae8cc12" elementFormDefault="qualified">
    <xsd:import namespace="http://schemas.microsoft.com/office/2006/documentManagement/types"/>
    <xsd:import namespace="http://schemas.microsoft.com/office/infopath/2007/PartnerControls"/>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D5B1CAEF-26DD-4BA6-9890-326E51FFAEDF}">
  <ds:schemaRefs>
    <ds:schemaRef ds:uri="http://schemas.microsoft.com/office/2006/metadata/properties"/>
    <ds:schemaRef ds:uri="http://schemas.microsoft.com/office/infopath/2007/PartnerControls"/>
    <ds:schemaRef ds:uri="ddd3adf8-e9ce-43fc-b18f-f114bb3bf01b"/>
  </ds:schemaRefs>
</ds:datastoreItem>
</file>

<file path=customXml/itemProps3.xml><?xml version="1.0" encoding="utf-8"?>
<ds:datastoreItem xmlns:ds="http://schemas.openxmlformats.org/officeDocument/2006/customXml" ds:itemID="{C67CF46F-8532-4919-A9CE-86C114B9DD41}">
  <ds:schemaRefs>
    <ds:schemaRef ds:uri="http://schemas.openxmlformats.org/officeDocument/2006/bibliography"/>
  </ds:schemaRefs>
</ds:datastoreItem>
</file>

<file path=customXml/itemProps4.xml><?xml version="1.0" encoding="utf-8"?>
<ds:datastoreItem xmlns:ds="http://schemas.openxmlformats.org/officeDocument/2006/customXml" ds:itemID="{55FCFC57-8971-4143-B2D4-80FFE2C4438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dd3adf8-e9ce-43fc-b18f-f114bb3bf01b"/>
    <ds:schemaRef ds:uri="fa387d1b-7b7d-44fe-8810-fc812ae8cc1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99641B9A-23B7-4874-A0AF-B69226DA0B9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5531</TotalTime>
  <Pages>3</Pages>
  <Words>232</Words>
  <Characters>1325</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George West</cp:lastModifiedBy>
  <cp:revision>69</cp:revision>
  <dcterms:created xsi:type="dcterms:W3CDTF">2020-06-09T19:54:00Z</dcterms:created>
  <dcterms:modified xsi:type="dcterms:W3CDTF">2021-06-02T18:24:00Z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42aa342-8706-4288-bd11-ebb85995028c_Enabled">
    <vt:lpwstr>True</vt:lpwstr>
  </property>
  <property fmtid="{D5CDD505-2E9C-101B-9397-08002B2CF9AE}" pid="3" name="MSIP_Label_f42aa342-8706-4288-bd11-ebb85995028c_SiteId">
    <vt:lpwstr>72f988bf-86f1-41af-91ab-2d7cd011db47</vt:lpwstr>
  </property>
  <property fmtid="{D5CDD505-2E9C-101B-9397-08002B2CF9AE}" pid="4" name="MSIP_Label_f42aa342-8706-4288-bd11-ebb85995028c_Owner">
    <vt:lpwstr>v-rosi@microsoft.com</vt:lpwstr>
  </property>
  <property fmtid="{D5CDD505-2E9C-101B-9397-08002B2CF9AE}" pid="5" name="MSIP_Label_f42aa342-8706-4288-bd11-ebb85995028c_SetDate">
    <vt:lpwstr>2020-01-28T16:18:19.3267225Z</vt:lpwstr>
  </property>
  <property fmtid="{D5CDD505-2E9C-101B-9397-08002B2CF9AE}" pid="6" name="MSIP_Label_f42aa342-8706-4288-bd11-ebb85995028c_Name">
    <vt:lpwstr>General</vt:lpwstr>
  </property>
  <property fmtid="{D5CDD505-2E9C-101B-9397-08002B2CF9AE}" pid="7" name="MSIP_Label_f42aa342-8706-4288-bd11-ebb85995028c_Application">
    <vt:lpwstr>Microsoft Azure Information Protection</vt:lpwstr>
  </property>
  <property fmtid="{D5CDD505-2E9C-101B-9397-08002B2CF9AE}" pid="8" name="MSIP_Label_f42aa342-8706-4288-bd11-ebb85995028c_ActionId">
    <vt:lpwstr>f821c66d-b85a-494f-a342-36ae93d075bd</vt:lpwstr>
  </property>
  <property fmtid="{D5CDD505-2E9C-101B-9397-08002B2CF9AE}" pid="9" name="MSIP_Label_f42aa342-8706-4288-bd11-ebb85995028c_Extended_MSFT_Method">
    <vt:lpwstr>Automatic</vt:lpwstr>
  </property>
  <property fmtid="{D5CDD505-2E9C-101B-9397-08002B2CF9AE}" pid="10" name="Sensitivity">
    <vt:lpwstr>General</vt:lpwstr>
  </property>
  <property fmtid="{D5CDD505-2E9C-101B-9397-08002B2CF9AE}" pid="11" name="ContentTypeId">
    <vt:lpwstr>0x010100CA4B400A3AA37244823AD8DC1C6835A7</vt:lpwstr>
  </property>
</Properties>
</file>