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South Africa</w:t>
      </w:r>
      <w:r w:rsidR="00480329"/>
    </w:p>
    <w:p w:rsidRPr="00BC7873" w:rsidR="00BC7873" w:rsidP="00D354EF" w:rsidRDefault="00051AB4" w14:paraId="2476CC56" w14:textId="2FB25FA9">
      <w:pPr>
        <w:pStyle w:val="Title"/>
      </w:pPr>
      <w:r w:rsidRPr="00BC7873">
        <w:t>Agreeing to the acquisition agreement → Damages, knowledge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 obligation to mitigate damages?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Yes. This is an automatic requirement of South African common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 exclusion of consequential damages?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provisions that there is no liability if the buyer has knowledge common, or does buyer knowledge have no effect?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