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Morocco</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Body"/>
                  </w:pPr>
                  <w:r>
                    <w:t xml:space="preserve">Morocco has two main regulators responsible for the authorization and supervision of banks and other financial institutions. These are the Bank Al-Maghrib (BAM) and the Moroccan Capital Market Authority (Autorité Marocaine du Marché des Capitaux or AMMC). The allocation of responsibilities between the BAM and the AMMC is as follows:</w:t>
                  </w:r>
                </w:p>
                <w:p>
                  <w:pPr>
                    <w:pStyle w:val="BodyText"/>
                  </w:pPr>
                  <w:pPr>
                    <w:pStyle w:val="ListParagraph"/>
                    <w:numPr>
                      <w:ilvl w:val="0"/>
                      <w:numId w:val="25"/>
                    </w:numPr>
                  </w:pPr>
                  <w:r>
                    <w:t xml:space="preserve">BAM is the principal regulator of the banking sector. It is responsible for the prudential regulation and supervision of banks and credit institutions. This includes ensuring the solvency and liquidity of these institutions, overseeing their management and governance practices, and monitoring their compliance with banking regulations. BAM also plays a crucial role in the implementation of monetary policy, management of foreign reserves, and ensuring the stability of the financial system.</w:t>
                  </w:r>
                </w:p>
                <w:p>
                  <w:pPr>
                    <w:pStyle w:val="BodyText"/>
                  </w:pPr>
                  <w:r>
                    <w:t xml:space="preserve">BAM ensures that the banking system operates efficiently and that the laws and regulations governing the operation and supervision of banks and similar institutions are complied with.</w:t>
                  </w:r>
                </w:p>
                <w:p>
                  <w:pPr>
                    <w:pStyle w:val="BodyText"/>
                  </w:pPr>
                  <w:r>
                    <w:br/>
                  </w:r>
                </w:p>
                <w:p>
                  <w:pPr>
                    <w:pStyle w:val="BodyText"/>
                  </w:pPr>
                  <w:pPr>
                    <w:pStyle w:val="ListParagraph"/>
                    <w:numPr>
                      <w:ilvl w:val="0"/>
                      <w:numId w:val="25"/>
                    </w:numPr>
                  </w:pPr>
                  <w:r>
                    <w:t xml:space="preserve">AMMC regulates and supervises the capital markets in Morocco. Its responsibilities include: </w:t>
                  </w:r>
                </w:p>
                <w:p>
                  <w:pPr>
                    <w:pStyle w:val="BodyText"/>
                  </w:pPr>
                  <w:pPr>
                    <w:pStyle w:val="ListParagraph"/>
                    <w:numPr>
                      <w:ilvl w:val="0"/>
                      <w:numId w:val="26"/>
                    </w:numPr>
                  </w:pPr>
                  <w:r>
                    <w:t xml:space="preserve">Ensuring the protection of savings invested in financial instruments</w:t>
                  </w:r>
                </w:p>
                <w:p>
                  <w:pPr>
                    <w:pStyle w:val="BodyText"/>
                  </w:pPr>
                  <w:pPr>
                    <w:pStyle w:val="ListParagraph"/>
                    <w:numPr>
                      <w:ilvl w:val="0"/>
                      <w:numId w:val="26"/>
                    </w:numPr>
                  </w:pPr>
                  <w:r>
                    <w:t xml:space="preserve">Ensuring equal treatment of investors, transparency and integrity of the capital markets, and of the accuracy and completeness of information provided to investors</w:t>
                  </w:r>
                </w:p>
                <w:p>
                  <w:pPr>
                    <w:pStyle w:val="BodyText"/>
                  </w:pPr>
                  <w:pPr>
                    <w:pStyle w:val="ListParagraph"/>
                    <w:numPr>
                      <w:ilvl w:val="0"/>
                      <w:numId w:val="26"/>
                    </w:numPr>
                  </w:pPr>
                  <w:r>
                    <w:t xml:space="preserve">Ensuring proper functioning of the capital markets and ensuring the implementation of legislative and regulatory provisions</w:t>
                  </w:r>
                </w:p>
                <w:p>
                  <w:pPr>
                    <w:pStyle w:val="BodyText"/>
                  </w:pPr>
                  <w:pPr>
                    <w:pStyle w:val="ListParagraph"/>
                    <w:numPr>
                      <w:ilvl w:val="0"/>
                      <w:numId w:val="26"/>
                    </w:numPr>
                  </w:pPr>
                  <w:r>
                    <w:t xml:space="preserve">Ensuring control of the activity of different organizations and persons subject to its control</w:t>
                  </w:r>
                </w:p>
                <w:p>
                  <w:pPr>
                    <w:pStyle w:val="BodyText"/>
                  </w:pPr>
                  <w:pPr>
                    <w:pStyle w:val="ListParagraph"/>
                    <w:numPr>
                      <w:ilvl w:val="0"/>
                      <w:numId w:val="26"/>
                    </w:numPr>
                  </w:pPr>
                  <w:r>
                    <w:t xml:space="preserve">Ensuring compliance with laws and regulations related to the fight against money laundering by individuals and institutions subject to its control</w:t>
                  </w:r>
                </w:p>
                <w:p>
                  <w:pPr>
                    <w:pStyle w:val="BodyText"/>
                  </w:pPr>
                  <w:pPr>
                    <w:pStyle w:val="ListParagraph"/>
                    <w:numPr>
                      <w:ilvl w:val="0"/>
                      <w:numId w:val="26"/>
                    </w:numPr>
                  </w:pPr>
                  <w:r>
                    <w:t xml:space="preserve">Contributing to promoting financial education</w:t>
                  </w:r>
                </w:p>
                <w:p>
                  <w:pPr>
                    <w:pStyle w:val="BodyText"/>
                  </w:pPr>
                  <w:pPr>
                    <w:pStyle w:val="ListParagraph"/>
                    <w:numPr>
                      <w:ilvl w:val="0"/>
                      <w:numId w:val="26"/>
                    </w:numPr>
                  </w:pPr>
                  <w:r>
                    <w:t xml:space="preserve">Assisting the government in the regulation of the capital market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Body"/>
                  </w:pPr>
                  <w:r>
                    <w:t xml:space="preserve">In Morocco, the regulatory framework for banking and financial services is comprised of a combination of laws, decrees, orders, regulations, and regulatory rules and guidance. Morocco, not being a member of the European Union, does not directly implement EU law; however, in an effort to modernize its financial system and encourage investment, Morocco often aligns some of its regulatory practices with international standards, including those influenced by the EU in areas such as anti-money laundering and combating the financing of terrorism, as well as banking and financial services regulation.</w:t>
                  </w:r>
                </w:p>
                <w:p>
                  <w:pPr>
                    <w:pStyle w:val="BodyText"/>
                  </w:pPr>
                  <w:pPr>
                    <w:pStyle w:val="Body"/>
                  </w:pPr>
                  <w:r>
                    <w:t xml:space="preserve">The main regulatory rules governing the banking and financial sector can be found in the following:</w:t>
                  </w:r>
                </w:p>
                <w:p>
                  <w:pPr>
                    <w:pStyle w:val="BodyText"/>
                  </w:pPr>
                  <w:pPr>
                    <w:pStyle w:val="ListParagraph"/>
                    <w:numPr>
                      <w:ilvl w:val="0"/>
                      <w:numId w:val="23"/>
                    </w:numPr>
                  </w:pPr>
                  <w:r>
                    <w:t xml:space="preserve">Law No. 103-12 on banking institutions and similar bodies (Banking Law), which governs the activities of banks and credit institutions, outlining licensing requirements, the scope of permissible activities, and prudential regulations </w:t>
                  </w:r>
                </w:p>
                <w:p>
                  <w:pPr>
                    <w:pStyle w:val="BodyText"/>
                  </w:pPr>
                  <w:pPr>
                    <w:pStyle w:val="ListParagraph"/>
                    <w:numPr>
                      <w:ilvl w:val="0"/>
                      <w:numId w:val="23"/>
                    </w:numPr>
                  </w:pPr>
                  <w:r>
                    <w:t xml:space="preserve">Law No. 43-05 on Money laundering prevention (Anti-Money Laundering Law), which establishes the legal framework for combating money laundering and the financing of terrorism, including the obligations of financial institutions to report suspicious transactions</w:t>
                  </w:r>
                </w:p>
                <w:p>
                  <w:pPr>
                    <w:pStyle w:val="BodyText"/>
                  </w:pPr>
                  <w:pPr>
                    <w:pStyle w:val="ListParagraph"/>
                    <w:numPr>
                      <w:ilvl w:val="0"/>
                      <w:numId w:val="23"/>
                    </w:numPr>
                  </w:pPr>
                  <w:r>
                    <w:t xml:space="preserve">Law No. 19-14 on the stock exchange, brokerage companies and financial investment advisers </w:t>
                  </w:r>
                </w:p>
                <w:p>
                  <w:pPr>
                    <w:pStyle w:val="BodyText"/>
                  </w:pPr>
                  <w:pPr>
                    <w:pStyle w:val="ListParagraph"/>
                    <w:numPr>
                      <w:ilvl w:val="0"/>
                      <w:numId w:val="23"/>
                    </w:numPr>
                  </w:pPr>
                  <w:r>
                    <w:t xml:space="preserve">Law No. 42-12 on the futures market in financial instruments</w:t>
                  </w:r>
                </w:p>
                <w:p>
                  <w:pPr>
                    <w:pStyle w:val="BodyText"/>
                  </w:pPr>
                  <w:pPr>
                    <w:pStyle w:val="ListParagraph"/>
                    <w:numPr>
                      <w:ilvl w:val="0"/>
                      <w:numId w:val="23"/>
                    </w:numPr>
                  </w:pPr>
                  <w:r>
                    <w:t xml:space="preserve">Law No. 44-12 relating to public offerings of securities and the information required from legal entities and bodies making public offerings of securities, as amended and supplemented by Law No. 19-14</w:t>
                  </w:r>
                </w:p>
                <w:p>
                  <w:pPr>
                    <w:pStyle w:val="BodyText"/>
                  </w:pPr>
                  <w:pPr>
                    <w:pStyle w:val="ListParagraph"/>
                    <w:numPr>
                      <w:ilvl w:val="0"/>
                      <w:numId w:val="23"/>
                    </w:numPr>
                  </w:pPr>
                  <w:r>
                    <w:t xml:space="preserve">Law No. 33-06 on asset securitization</w:t>
                  </w:r>
                </w:p>
                <w:p>
                  <w:pPr>
                    <w:pStyle w:val="BodyText"/>
                  </w:pPr>
                  <w:pPr>
                    <w:pStyle w:val="ListParagraph"/>
                    <w:numPr>
                      <w:ilvl w:val="0"/>
                      <w:numId w:val="23"/>
                    </w:numPr>
                  </w:pPr>
                  <w:r>
                    <w:t xml:space="preserve">Law No. 70-14 relating to property investment funds</w:t>
                  </w:r>
                </w:p>
                <w:p>
                  <w:pPr>
                    <w:pStyle w:val="BodyText"/>
                  </w:pPr>
                  <w:pPr>
                    <w:pStyle w:val="ListParagraph"/>
                    <w:numPr>
                      <w:ilvl w:val="0"/>
                      <w:numId w:val="23"/>
                    </w:numPr>
                  </w:pPr>
                  <w:r>
                    <w:t xml:space="preserve">Law No. 41-05 relating to undertakings for collective investment in capital </w:t>
                  </w:r>
                </w:p>
                <w:p>
                  <w:pPr>
                    <w:pStyle w:val="BodyText"/>
                  </w:pPr>
                  <w:pPr>
                    <w:pStyle w:val="Body"/>
                  </w:pPr>
                  <w:r>
                    <w:t xml:space="preserve">In addition, the Ministry of Economy and Finance, BAM and the AMMC can provide more detailed rules and procedures for the implementation of the laws:</w:t>
                  </w:r>
                </w:p>
                <w:p>
                  <w:pPr>
                    <w:pStyle w:val="BodyText"/>
                  </w:pPr>
                  <w:pPr>
                    <w:pStyle w:val="ListParagraph"/>
                    <w:numPr>
                      <w:ilvl w:val="0"/>
                      <w:numId w:val="24"/>
                    </w:numPr>
                  </w:pPr>
                  <w:r>
                    <w:t xml:space="preserve">The Ministry of Economy and Finance issues decrees on financial reporting, governance and other aspects of financial institution operations.</w:t>
                  </w:r>
                </w:p>
                <w:p>
                  <w:pPr>
                    <w:pStyle w:val="BodyText"/>
                  </w:pPr>
                  <w:pPr>
                    <w:pStyle w:val="ListParagraph"/>
                    <w:numPr>
                      <w:ilvl w:val="0"/>
                      <w:numId w:val="24"/>
                    </w:numPr>
                  </w:pPr>
                  <w:r>
                    <w:t xml:space="preserve">BAM provides circulars on prudential requirements for banks and similar bodies, including capital adequacy, liquidity and risk management.</w:t>
                  </w:r>
                </w:p>
                <w:p>
                  <w:pPr>
                    <w:pStyle w:val="BodyText"/>
                  </w:pPr>
                  <w:pPr>
                    <w:pStyle w:val="ListParagraph"/>
                    <w:numPr>
                      <w:ilvl w:val="0"/>
                      <w:numId w:val="24"/>
                    </w:numPr>
                  </w:pPr>
                  <w:r>
                    <w:t xml:space="preserve">AMMC publishes circulars and decisions providing guidance on securities market operations, including listing requirements, disclosure obligations, and market conduct rules.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Body"/>
                  </w:pPr>
                  <w:r>
                    <w:rPr>
                      <w:b/>
                      <w:u w:val="single"/>
                    </w:rPr>
                    <w:t xml:space="preserve">Banking activities </w:t>
                  </w:r>
                </w:p>
                <w:p>
                  <w:pPr>
                    <w:pStyle w:val="BodyText"/>
                  </w:pPr>
                  <w:pPr>
                    <w:pStyle w:val="Body"/>
                  </w:pPr>
                  <w:r>
                    <w:t xml:space="preserve">In Morocco, a license is required from any moral person considered as a credit institution, a microfinance association, an offshore bank or a payment institution that would like to carry on its business within the national territory.</w:t>
                  </w:r>
                </w:p>
                <w:p>
                  <w:pPr>
                    <w:pStyle w:val="BodyText"/>
                  </w:pPr>
                  <w:pPr>
                    <w:pStyle w:val="Body"/>
                  </w:pPr>
                  <w:r>
                    <w:t xml:space="preserve">Institutions are considered to be credit institutions carrying on business in Morocco, irrespective of the place of their registered office, the nationality of the contributors to their share capital or endowment, or that of their directors, where they carry on one or more of the following activities on a regular basis:</w:t>
                  </w:r>
                </w:p>
                <w:p>
                  <w:pPr>
                    <w:pStyle w:val="BodyText"/>
                  </w:pPr>
                  <w:pPr>
                    <w:pStyle w:val="ListParagraph"/>
                    <w:numPr>
                      <w:ilvl w:val="0"/>
                      <w:numId w:val="18"/>
                    </w:numPr>
                  </w:pPr>
                  <w:r>
                    <w:t xml:space="preserve">Receiving funds from the public </w:t>
                  </w:r>
                </w:p>
                <w:p>
                  <w:pPr>
                    <w:pStyle w:val="BodyText"/>
                  </w:pPr>
                  <w:pPr>
                    <w:pStyle w:val="ListParagraph"/>
                    <w:numPr>
                      <w:ilvl w:val="0"/>
                      <w:numId w:val="18"/>
                    </w:numPr>
                  </w:pPr>
                  <w:r>
                    <w:t xml:space="preserve">Credit transactions </w:t>
                  </w:r>
                </w:p>
                <w:p>
                  <w:pPr>
                    <w:pStyle w:val="BodyText"/>
                  </w:pPr>
                  <w:pPr>
                    <w:pStyle w:val="ListParagraph"/>
                    <w:numPr>
                      <w:ilvl w:val="0"/>
                      <w:numId w:val="18"/>
                    </w:numPr>
                  </w:pPr>
                  <w:r>
                    <w:t xml:space="preserve">Providing customers with all types of payment instruments</w:t>
                  </w:r>
                </w:p>
                <w:p>
                  <w:pPr>
                    <w:pStyle w:val="BodyText"/>
                  </w:pPr>
                  <w:pPr>
                    <w:pStyle w:val="Body"/>
                  </w:pPr>
                  <w:r>
                    <w:t xml:space="preserve">Any legal entity that carries on microfinance activities is considered to be a microfinance association. Such activities include the provision of services to low-income individuals for the creation or development of production or service activities and income-generating activities that create jobs. Microfinance services include the granting of micro-credit, the receipt of funds from the public, and micro-insurance.</w:t>
                  </w:r>
                </w:p>
                <w:p>
                  <w:pPr>
                    <w:pStyle w:val="BodyText"/>
                  </w:pPr>
                  <w:pPr>
                    <w:pStyle w:val="Body"/>
                  </w:pPr>
                  <w:r>
                    <w:t xml:space="preserve">The following are considered to be offshore banks:</w:t>
                  </w:r>
                </w:p>
                <w:p>
                  <w:pPr>
                    <w:pStyle w:val="BodyText"/>
                  </w:pPr>
                  <w:pPr>
                    <w:pStyle w:val="ListParagraph"/>
                    <w:numPr>
                      <w:ilvl w:val="0"/>
                      <w:numId w:val="19"/>
                    </w:numPr>
                  </w:pPr>
                  <w:r>
                    <w:t xml:space="preserve">Any legal entity, irrespective of the nationality of its directors or of its shareholders, that has its registered office in an offshore financial center and for the usual and principal business of receiving deposits in convertible foreign currencies and to carry out, in foreign currency, for its own account or for the account of its customers, any financial, credit, stock market or foreign exchange</w:t>
                  </w:r>
                </w:p>
                <w:p>
                  <w:pPr>
                    <w:pStyle w:val="BodyText"/>
                  </w:pPr>
                  <w:pPr>
                    <w:pStyle w:val="ListParagraph"/>
                    <w:numPr>
                      <w:ilvl w:val="0"/>
                      <w:numId w:val="19"/>
                    </w:numPr>
                  </w:pPr>
                  <w:r>
                    <w:t xml:space="preserve">Any branch set up in an offshore financial center by a bank whose head office is located elsewhere to carry out one or more of the foregoing activities</w:t>
                  </w:r>
                </w:p>
                <w:p>
                  <w:pPr>
                    <w:pStyle w:val="BodyText"/>
                  </w:pPr>
                  <w:pPr>
                    <w:pStyle w:val="Body"/>
                  </w:pPr>
                  <w:r>
                    <w:t xml:space="preserve">Institutions that provide the following services are considered to be payment institutions:</w:t>
                  </w:r>
                </w:p>
                <w:p>
                  <w:pPr>
                    <w:pStyle w:val="BodyText"/>
                  </w:pPr>
                  <w:pPr>
                    <w:pStyle w:val="ListParagraph"/>
                    <w:numPr>
                      <w:ilvl w:val="0"/>
                      <w:numId w:val="20"/>
                    </w:numPr>
                  </w:pPr>
                  <w:r>
                    <w:t xml:space="preserve">Fund transfer transactions</w:t>
                  </w:r>
                </w:p>
                <w:p>
                  <w:pPr>
                    <w:pStyle w:val="BodyText"/>
                  </w:pPr>
                  <w:pPr>
                    <w:pStyle w:val="ListParagraph"/>
                    <w:numPr>
                      <w:ilvl w:val="0"/>
                      <w:numId w:val="20"/>
                    </w:numPr>
                  </w:pPr>
                  <w:r>
                    <w:t xml:space="preserve">Cash deposits and withdrawals on a payment account </w:t>
                  </w:r>
                </w:p>
                <w:p>
                  <w:pPr>
                    <w:pStyle w:val="BodyText"/>
                  </w:pPr>
                  <w:pPr>
                    <w:pStyle w:val="ListParagraph"/>
                    <w:numPr>
                      <w:ilvl w:val="0"/>
                      <w:numId w:val="20"/>
                    </w:numPr>
                  </w:pPr>
                  <w:r>
                    <w:t xml:space="preserve">Execution of payment transactions by any remote means provided that the operator acts solely as an intermediary between the payer and the supplier of goods and services </w:t>
                  </w:r>
                </w:p>
                <w:p>
                  <w:pPr>
                    <w:pStyle w:val="BodyText"/>
                  </w:pPr>
                  <w:pPr>
                    <w:pStyle w:val="ListParagraph"/>
                    <w:numPr>
                      <w:ilvl w:val="0"/>
                      <w:numId w:val="20"/>
                    </w:numPr>
                  </w:pPr>
                  <w:r>
                    <w:t xml:space="preserve">Execution of direct debits or standing orders, card payment transactions and transfers involving funds held on a payment account (a payment account is any account held in the name of a payment service user that is used exclusively for payment transactions)</w:t>
                  </w:r>
                </w:p>
                <w:p>
                  <w:pPr>
                    <w:pStyle w:val="BodyText"/>
                  </w:pPr>
                  <w:pPr>
                    <w:pStyle w:val="Body"/>
                  </w:pPr>
                  <w:r>
                    <w:t xml:space="preserve">In addition, a new license is required for any operation involving the following:</w:t>
                  </w:r>
                </w:p>
                <w:p>
                  <w:pPr>
                    <w:pStyle w:val="BodyText"/>
                  </w:pPr>
                  <w:pPr>
                    <w:pStyle w:val="ListParagraph"/>
                    <w:numPr>
                      <w:ilvl w:val="0"/>
                      <w:numId w:val="21"/>
                    </w:numPr>
                  </w:pPr>
                  <w:r>
                    <w:t xml:space="preserve">The merger of two or more credit institutions </w:t>
                  </w:r>
                </w:p>
                <w:p>
                  <w:pPr>
                    <w:pStyle w:val="BodyText"/>
                  </w:pPr>
                  <w:pPr>
                    <w:pStyle w:val="ListParagraph"/>
                    <w:numPr>
                      <w:ilvl w:val="0"/>
                      <w:numId w:val="21"/>
                    </w:numPr>
                  </w:pPr>
                  <w:r>
                    <w:t xml:space="preserve">The absorption of one or more credit institutions by another credit institution</w:t>
                  </w:r>
                </w:p>
                <w:p>
                  <w:pPr>
                    <w:pStyle w:val="BodyText"/>
                  </w:pPr>
                  <w:pPr>
                    <w:pStyle w:val="Body"/>
                  </w:pPr>
                  <w:r>
                    <w:t xml:space="preserve">Finally, the changes affecting the nationality or control of a credit institution or the nature of the operations it usually carries out are subject to the granting of a new license.</w:t>
                  </w:r>
                </w:p>
                <w:p>
                  <w:pPr>
                    <w:pStyle w:val="BodyText"/>
                  </w:pPr>
                  <w:pPr>
                    <w:pStyle w:val="Body"/>
                  </w:pPr>
                  <w:r>
                    <w:rPr>
                      <w:b/>
                      <w:u w:val="single"/>
                    </w:rPr>
                    <w:t xml:space="preserve">Financial activities</w:t>
                  </w:r>
                </w:p>
                <w:p>
                  <w:pPr>
                    <w:pStyle w:val="BodyText"/>
                  </w:pPr>
                  <w:pPr>
                    <w:pStyle w:val="Body"/>
                    <w:spacing w:after="239"/>
                  </w:pPr>
                  <w:r>
                    <w:t xml:space="preserve">In order to carry out certain capital market activities, participants must first obtain specific authorization in the form of a license issued by the AMMC or the Minister of Finance, as the case may be, on the advice of the AMMC.</w:t>
                  </w:r>
                </w:p>
                <w:p>
                  <w:pPr>
                    <w:pStyle w:val="BodyText"/>
                  </w:pPr>
                  <w:pPr>
                    <w:pStyle w:val="Body"/>
                  </w:pPr>
                  <w:r>
                    <w:t xml:space="preserve">The following are subject to approval:</w:t>
                  </w:r>
                </w:p>
                <w:p>
                  <w:pPr>
                    <w:pStyle w:val="BodyText"/>
                  </w:pPr>
                  <w:pPr>
                    <w:pStyle w:val="ListParagraph"/>
                    <w:numPr>
                      <w:ilvl w:val="0"/>
                      <w:numId w:val="22"/>
                    </w:numPr>
                  </w:pPr>
                  <w:r>
                    <w:t xml:space="preserve">Brokerage firms (i.e., intermediaries whose principal and usual activity is the execution of transactions in financial instruments on the stock market)</w:t>
                  </w:r>
                </w:p>
                <w:p>
                  <w:pPr>
                    <w:pStyle w:val="BodyText"/>
                  </w:pPr>
                  <w:pPr>
                    <w:pStyle w:val="ListParagraph"/>
                    <w:numPr>
                      <w:ilvl w:val="0"/>
                      <w:numId w:val="22"/>
                    </w:numPr>
                  </w:pPr>
                  <w:r>
                    <w:t xml:space="preserve">Management companies (i.e., including Venture Capital Investment Vehicles (OPCC), Securitization Vehicles (FPCT), Real Estate Investment Schemes (OPCI), and venture capital funds management companies)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Entities that conduct their business in Morocco as credit institutions, microfinance associations, offshore banks or payment institutions, or offer financial products or services to a client or a counterparty located in Morocco, are subject to the Moroccan licensing requirements, regardless of their location.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Body"/>
                  </w:pPr>
                  <w:r>
                    <w:rPr>
                      <w:b/>
                    </w:rPr>
                    <w:t xml:space="preserve">Authorizations issued by BAM</w:t>
                  </w:r>
                </w:p>
                <w:p>
                  <w:pPr>
                    <w:pStyle w:val="BodyText"/>
                  </w:pPr>
                  <w:pPr>
                    <w:pStyle w:val="Body"/>
                  </w:pPr>
                  <w:r>
                    <w:t xml:space="preserve">The requirements to obtain authorization are listed by the Bank Al-Maghrib circular n°5/W/15 and are mainly the</w:t>
                  </w:r>
                  <w:r>
                    <w:t xml:space="preserve"> furnishing </w:t>
                  </w:r>
                  <w:r>
                    <w:t xml:space="preserve">of documents and information referring to:</w:t>
                  </w:r>
                </w:p>
                <w:p>
                  <w:pPr>
                    <w:pStyle w:val="BodyText"/>
                  </w:pPr>
                  <w:pPr>
                    <w:pStyle w:val="ListParagraph"/>
                    <w:numPr>
                      <w:ilvl w:val="0"/>
                      <w:numId w:val="12"/>
                    </w:numPr>
                  </w:pPr>
                  <w:r>
                    <w:t xml:space="preserve">The license requested</w:t>
                  </w:r>
                </w:p>
                <w:p>
                  <w:pPr>
                    <w:pStyle w:val="BodyText"/>
                  </w:pPr>
                  <w:pPr>
                    <w:pStyle w:val="ListParagraph"/>
                    <w:numPr>
                      <w:ilvl w:val="0"/>
                      <w:numId w:val="12"/>
                    </w:numPr>
                  </w:pPr>
                  <w:r>
                    <w:t xml:space="preserve">The capital contributors and the shareholders of the establishment seeking approval </w:t>
                  </w:r>
                </w:p>
                <w:p>
                  <w:pPr>
                    <w:pStyle w:val="BodyText"/>
                  </w:pPr>
                  <w:pPr>
                    <w:pStyle w:val="ListParagraph"/>
                    <w:numPr>
                      <w:ilvl w:val="0"/>
                      <w:numId w:val="12"/>
                    </w:numPr>
                  </w:pPr>
                  <w:r>
                    <w:t xml:space="preserve">The legal documentation and governance of the establishment</w:t>
                  </w:r>
                </w:p>
                <w:p>
                  <w:pPr>
                    <w:pStyle w:val="BodyText"/>
                  </w:pPr>
                  <w:pPr>
                    <w:pStyle w:val="ListParagraph"/>
                    <w:numPr>
                      <w:ilvl w:val="0"/>
                      <w:numId w:val="12"/>
                    </w:numPr>
                  </w:pPr>
                  <w:r>
                    <w:t xml:space="preserve">The presentation of the project, its objectives, timetable and business plan, as well as the human, technical and financial resources required for its implementation </w:t>
                  </w:r>
                </w:p>
                <w:p>
                  <w:pPr>
                    <w:pStyle w:val="BodyText"/>
                  </w:pPr>
                  <w:pPr>
                    <w:pStyle w:val="ListParagraph"/>
                    <w:numPr>
                      <w:ilvl w:val="0"/>
                      <w:numId w:val="12"/>
                    </w:numPr>
                  </w:pPr>
                  <w:r>
                    <w:t xml:space="preserve">The internal control, risk management, anti-money laundering, anti-terrorist financing and personal data protection procedures </w:t>
                  </w:r>
                </w:p>
                <w:p>
                  <w:pPr>
                    <w:pStyle w:val="BodyText"/>
                  </w:pPr>
                  <w:pPr>
                    <w:pStyle w:val="ListParagraph"/>
                    <w:numPr>
                      <w:ilvl w:val="0"/>
                      <w:numId w:val="12"/>
                    </w:numPr>
                  </w:pPr>
                  <w:r>
                    <w:t xml:space="preserve">The application for approval of the statutory auditors whose appointment is envisaged </w:t>
                  </w:r>
                </w:p>
                <w:p>
                  <w:pPr>
                    <w:pStyle w:val="BodyText"/>
                  </w:pPr>
                  <w:pPr>
                    <w:pStyle w:val="ListParagraph"/>
                    <w:numPr>
                      <w:ilvl w:val="0"/>
                      <w:numId w:val="12"/>
                    </w:numPr>
                  </w:pPr>
                  <w:r>
                    <w:t xml:space="preserve">In the case of affiliation with a financial institution, the control exercised by the said institution and the prudential supervision to which it is subject </w:t>
                  </w:r>
                </w:p>
                <w:p>
                  <w:pPr>
                    <w:pStyle w:val="BodyText"/>
                  </w:pPr>
                  <w:pPr>
                    <w:pStyle w:val="ListParagraph"/>
                    <w:numPr>
                      <w:ilvl w:val="0"/>
                      <w:numId w:val="12"/>
                    </w:numPr>
                  </w:pPr>
                  <w:r>
                    <w:t xml:space="preserve">The opinion of the supervisory authority of the home country when the applicant is a foreign financial institution </w:t>
                  </w:r>
                </w:p>
                <w:p>
                  <w:pPr>
                    <w:pStyle w:val="BodyText"/>
                  </w:pPr>
                  <w:pPr>
                    <w:ind w:left="360"/>
                  </w:pPr>
                  <w:r>
                    <w:t xml:space="preserve">Applications for authorization to carry on a participative banking activity must be accompanied, in addition to the abovementioned elements, by information relating to the system for complying with the opinions of the Higher Council of the Ulema as well as the system for managing investment deposits and handling their holders.</w:t>
                  </w:r>
                </w:p>
                <w:p>
                  <w:pPr>
                    <w:pStyle w:val="BodyText"/>
                  </w:pPr>
                  <w:pPr>
                    <w:ind w:left="360"/>
                  </w:pPr>
                  <w:r>
                    <w:t xml:space="preserve">BAM may request any additional information or documents relating to the application for authorization and the characteristics of the targeted activity or operation.</w:t>
                  </w:r>
                </w:p>
                <w:p>
                  <w:pPr>
                    <w:pStyle w:val="BodyText"/>
                  </w:pPr>
                  <w:pPr>
                    <w:pStyle w:val="Body"/>
                  </w:pPr>
                  <w:r>
                    <w:rPr>
                      <w:b/>
                    </w:rPr>
                    <w:t xml:space="preserve">Authorizations issued by the AMMC</w:t>
                  </w:r>
                </w:p>
                <w:p>
                  <w:pPr>
                    <w:pStyle w:val="BodyText"/>
                  </w:pPr>
                  <w:pPr>
                    <w:pStyle w:val="ListParagraph"/>
                    <w:numPr>
                      <w:ilvl w:val="0"/>
                      <w:numId w:val="13"/>
                    </w:numPr>
                  </w:pPr>
                  <w:r>
                    <w:t xml:space="preserve">Requirements for a brokerage firm:</w:t>
                  </w:r>
                </w:p>
                <w:p>
                  <w:pPr>
                    <w:pStyle w:val="BodyText"/>
                  </w:pPr>
                  <w:pPr>
                    <w:pStyle w:val="ListParagraph"/>
                    <w:numPr>
                      <w:ilvl w:val="1"/>
                      <w:numId w:val="14"/>
                    </w:numPr>
                    <w:ind w:left="1560"/>
                  </w:pPr>
                  <w:r>
                    <w:t xml:space="preserve">Copy of the draft articles of association </w:t>
                  </w:r>
                </w:p>
                <w:p>
                  <w:pPr>
                    <w:pStyle w:val="BodyText"/>
                  </w:pPr>
                  <w:pPr>
                    <w:pStyle w:val="ListParagraph"/>
                    <w:numPr>
                      <w:ilvl w:val="1"/>
                      <w:numId w:val="14"/>
                    </w:numPr>
                    <w:ind w:left="1560"/>
                  </w:pPr>
                  <w:r>
                    <w:t xml:space="preserve">Nature of the planned activities </w:t>
                  </w:r>
                </w:p>
                <w:p>
                  <w:pPr>
                    <w:pStyle w:val="BodyText"/>
                  </w:pPr>
                  <w:pPr>
                    <w:pStyle w:val="ListParagraph"/>
                    <w:numPr>
                      <w:ilvl w:val="1"/>
                      <w:numId w:val="14"/>
                    </w:numPr>
                    <w:ind w:left="1560"/>
                  </w:pPr>
                  <w:r>
                    <w:t xml:space="preserve">Amount and distribution of share capital </w:t>
                  </w:r>
                </w:p>
                <w:p>
                  <w:pPr>
                    <w:pStyle w:val="BodyText"/>
                  </w:pPr>
                  <w:pPr>
                    <w:pStyle w:val="ListParagraph"/>
                    <w:numPr>
                      <w:ilvl w:val="1"/>
                      <w:numId w:val="14"/>
                    </w:numPr>
                    <w:ind w:left="1560"/>
                  </w:pPr>
                  <w:r>
                    <w:t xml:space="preserve">List of directors </w:t>
                  </w:r>
                </w:p>
                <w:p>
                  <w:pPr>
                    <w:pStyle w:val="BodyText"/>
                  </w:pPr>
                  <w:pPr>
                    <w:pStyle w:val="ListParagraph"/>
                    <w:numPr>
                      <w:ilvl w:val="1"/>
                      <w:numId w:val="14"/>
                    </w:numPr>
                    <w:ind w:left="1560"/>
                  </w:pPr>
                  <w:r>
                    <w:t xml:space="preserve">List of human and material resources, as well as a description of the organization envisaged for the exercise of the brokerage</w:t>
                  </w:r>
                </w:p>
                <w:p>
                  <w:pPr>
                    <w:pStyle w:val="BodyText"/>
                  </w:pPr>
                  <w:r>
                    <w:t xml:space="preserve"> </w:t>
                  </w:r>
                </w:p>
                <w:p>
                  <w:pPr>
                    <w:pStyle w:val="BodyText"/>
                  </w:pPr>
                  <w:pPr>
                    <w:pStyle w:val="ListParagraph"/>
                    <w:numPr>
                      <w:ilvl w:val="0"/>
                      <w:numId w:val="13"/>
                    </w:numPr>
                  </w:pPr>
                  <w:r>
                    <w:t xml:space="preserve">Requirements for a management company of Undertakings for Collective Investment in Capital (OPCC):</w:t>
                  </w:r>
                </w:p>
                <w:p>
                  <w:pPr>
                    <w:pStyle w:val="BodyText"/>
                  </w:pPr>
                  <w:pPr>
                    <w:pStyle w:val="ListParagraph"/>
                    <w:numPr>
                      <w:ilvl w:val="1"/>
                      <w:numId w:val="15"/>
                    </w:numPr>
                    <w:ind w:left="1560"/>
                  </w:pPr>
                  <w:r>
                    <w:t xml:space="preserve">Have as their principal and usual business the management of one or more OPCCs and related operations and/or the management of foreign-registered capital investment schemes, the list of which is set by AMMC circular. They may also engage in related activities, the list of which will be drawn up by the authorities after consulting the AMMC;</w:t>
                  </w:r>
                </w:p>
                <w:p>
                  <w:pPr>
                    <w:pStyle w:val="BodyText"/>
                  </w:pPr>
                  <w:pPr>
                    <w:pStyle w:val="ListParagraph"/>
                    <w:numPr>
                      <w:ilvl w:val="1"/>
                      <w:numId w:val="15"/>
                    </w:numPr>
                    <w:ind w:left="1560"/>
                  </w:pPr>
                  <w:r>
                    <w:t xml:space="preserve">Have a share capital of not less than MAD 1 million, made up of registered shares, fully paid up at the time of incorporation. The administration may set a higher amount on the proposal of the AMMC.</w:t>
                  </w:r>
                </w:p>
                <w:p>
                  <w:pPr>
                    <w:pStyle w:val="BodyText"/>
                  </w:pPr>
                  <w:pPr>
                    <w:pStyle w:val="ListParagraph"/>
                    <w:numPr>
                      <w:ilvl w:val="1"/>
                      <w:numId w:val="15"/>
                    </w:numPr>
                    <w:ind w:left="1560"/>
                  </w:pPr>
                  <w:r>
                    <w:t xml:space="preserve">Provide evidence of sufficient equity capital, the threshold and calculation methods for which are set by the authorities, on the recommendation of the AMMC.</w:t>
                  </w:r>
                </w:p>
                <w:p>
                  <w:pPr>
                    <w:pStyle w:val="BodyText"/>
                  </w:pPr>
                  <w:pPr>
                    <w:pStyle w:val="ListParagraph"/>
                    <w:numPr>
                      <w:ilvl w:val="1"/>
                      <w:numId w:val="15"/>
                    </w:numPr>
                    <w:ind w:left="1560"/>
                  </w:pPr>
                  <w:r>
                    <w:t xml:space="preserve">Provide sufficient guarantees, particularly in terms of organization, human, technical and financial resources, and professional skills, to enable them to carry out their missions effectively.</w:t>
                  </w:r>
                </w:p>
                <w:p>
                  <w:pPr>
                    <w:pStyle w:val="BodyText"/>
                  </w:pPr>
                  <w:pPr>
                    <w:pStyle w:val="ListParagraph"/>
                    <w:numPr>
                      <w:ilvl w:val="1"/>
                      <w:numId w:val="15"/>
                    </w:numPr>
                    <w:ind w:left="1560"/>
                  </w:pPr>
                  <w:r>
                    <w:t xml:space="preserve">Have an internal control and risk management system, a system for preventing and managing conflicts of interest, and rules of conduct. The application of this paragraph is set out in an AMMC circular.</w:t>
                  </w:r>
                </w:p>
                <w:p>
                  <w:pPr>
                    <w:pStyle w:val="BodyText"/>
                  </w:pPr>
                  <w:pPr>
                    <w:pStyle w:val="ListParagraph"/>
                    <w:numPr>
                      <w:ilvl w:val="1"/>
                      <w:numId w:val="15"/>
                    </w:numPr>
                    <w:ind w:left="1560"/>
                  </w:pPr>
                  <w:r>
                    <w:t xml:space="preserve">Its managers must not have a criminal record. </w:t>
                  </w:r>
                </w:p>
                <w:p>
                  <w:pPr>
                    <w:pStyle w:val="BodyText"/>
                  </w:pPr>
                  <w:r>
                    <w:t xml:space="preserve"> </w:t>
                  </w:r>
                </w:p>
                <w:p>
                  <w:pPr>
                    <w:pStyle w:val="BodyText"/>
                  </w:pPr>
                  <w:pPr>
                    <w:pStyle w:val="ListParagraph"/>
                    <w:numPr>
                      <w:ilvl w:val="0"/>
                      <w:numId w:val="13"/>
                    </w:numPr>
                  </w:pPr>
                  <w:r>
                    <w:t xml:space="preserve">Requirements for a management company of Real Estate Investment Schemes (OPCI):</w:t>
                  </w:r>
                </w:p>
                <w:p>
                  <w:pPr>
                    <w:pStyle w:val="BodyText"/>
                  </w:pPr>
                  <w:pPr>
                    <w:pStyle w:val="ListParagraph"/>
                    <w:numPr>
                      <w:ilvl w:val="1"/>
                      <w:numId w:val="16"/>
                    </w:numPr>
                    <w:ind w:left="1560"/>
                  </w:pPr>
                  <w:r>
                    <w:t xml:space="preserve">Have as its principal and usual business the management of OPCIs and/or the management of foreign real estate investment schemes governed by countries that have information exchange and cooperation agreements with the Kingdom of Morocco, as well as operations relating to the management of said OPCIs.</w:t>
                  </w:r>
                </w:p>
                <w:p>
                  <w:pPr>
                    <w:pStyle w:val="BodyText"/>
                  </w:pPr>
                  <w:pPr>
                    <w:pStyle w:val="ListParagraph"/>
                    <w:numPr>
                      <w:ilvl w:val="1"/>
                      <w:numId w:val="16"/>
                    </w:numPr>
                    <w:ind w:left="1560"/>
                  </w:pPr>
                  <w:r>
                    <w:t xml:space="preserve">Have its registered office in Morocco.</w:t>
                  </w:r>
                </w:p>
                <w:p>
                  <w:pPr>
                    <w:pStyle w:val="BodyText"/>
                  </w:pPr>
                  <w:pPr>
                    <w:pStyle w:val="ListParagraph"/>
                    <w:numPr>
                      <w:ilvl w:val="1"/>
                      <w:numId w:val="16"/>
                    </w:numPr>
                    <w:ind w:left="1560"/>
                  </w:pPr>
                  <w:r>
                    <w:t xml:space="preserve">Have a share capital that is fully paid up at the time of application for approval, and which may not be less than MAD 1 million.</w:t>
                  </w:r>
                </w:p>
                <w:p>
                  <w:pPr>
                    <w:pStyle w:val="BodyText"/>
                  </w:pPr>
                  <w:pPr>
                    <w:pStyle w:val="ListParagraph"/>
                    <w:numPr>
                      <w:ilvl w:val="1"/>
                      <w:numId w:val="16"/>
                    </w:numPr>
                    <w:ind w:left="1560"/>
                  </w:pPr>
                  <w:r>
                    <w:t xml:space="preserve">Provide sufficient guarantees regarding its organization, human and technical resources, and the professional experience of its managers.</w:t>
                  </w:r>
                </w:p>
                <w:p>
                  <w:pPr>
                    <w:pStyle w:val="BodyText"/>
                  </w:pPr>
                  <w:pPr>
                    <w:pStyle w:val="ListParagraph"/>
                    <w:numPr>
                      <w:ilvl w:val="1"/>
                      <w:numId w:val="16"/>
                    </w:numPr>
                    <w:ind w:left="1560"/>
                  </w:pPr>
                  <w:r>
                    <w:t xml:space="preserve">Its directors must not have been convicted of an offense related to their activity.</w:t>
                  </w:r>
                </w:p>
                <w:p>
                  <w:pPr>
                    <w:pStyle w:val="BodyText"/>
                  </w:pPr>
                  <w:r>
                    <w:t xml:space="preserve">The management company must satisfy the aforementioned conditions for the entire duration of its OPCI management activity.</w:t>
                  </w:r>
                </w:p>
                <w:p>
                  <w:pPr>
                    <w:pStyle w:val="BodyText"/>
                  </w:pPr>
                  <w:r>
                    <w:t xml:space="preserve"> </w:t>
                  </w:r>
                </w:p>
                <w:p>
                  <w:pPr>
                    <w:pStyle w:val="BodyText"/>
                  </w:pPr>
                  <w:pPr>
                    <w:pStyle w:val="ListParagraph"/>
                    <w:numPr>
                      <w:ilvl w:val="0"/>
                      <w:numId w:val="13"/>
                    </w:numPr>
                  </w:pPr>
                  <w:r>
                    <w:t xml:space="preserve">Requirements for an institution managing securitization mutual funds (FPCT): </w:t>
                  </w:r>
                </w:p>
                <w:p>
                  <w:pPr>
                    <w:pStyle w:val="BodyText"/>
                  </w:pPr>
                  <w:pPr>
                    <w:pStyle w:val="ListParagraph"/>
                    <w:numPr>
                      <w:ilvl w:val="0"/>
                      <w:numId w:val="17"/>
                    </w:numPr>
                  </w:pPr>
                  <w:r>
                    <w:t xml:space="preserve">Have as its sole purpose the carrying out of securitization transactions in Morocco in accordance with the provisions of this title or abroad in accordance with the applicable provisions, and the management of one or more FPCTs.</w:t>
                  </w:r>
                </w:p>
                <w:p>
                  <w:pPr>
                    <w:pStyle w:val="BodyText"/>
                  </w:pPr>
                  <w:pPr>
                    <w:pStyle w:val="ListParagraph"/>
                    <w:numPr>
                      <w:ilvl w:val="0"/>
                      <w:numId w:val="17"/>
                    </w:numPr>
                  </w:pPr>
                  <w:r>
                    <w:t xml:space="preserve">Have its registered office in Morocco.</w:t>
                  </w:r>
                </w:p>
                <w:p>
                  <w:pPr>
                    <w:pStyle w:val="BodyText"/>
                  </w:pPr>
                  <w:pPr>
                    <w:pStyle w:val="ListParagraph"/>
                    <w:numPr>
                      <w:ilvl w:val="0"/>
                      <w:numId w:val="17"/>
                    </w:numPr>
                  </w:pPr>
                  <w:r>
                    <w:t xml:space="preserve">Have fully paid-up share capital at the time of incorporation, the amount of which may not be less than a minimum level set by the authorities after consultation with the AMMC. This level may not be less than MAD 1 million</w:t>
                  </w:r>
                </w:p>
                <w:p>
                  <w:pPr>
                    <w:pStyle w:val="BodyText"/>
                  </w:pPr>
                  <w:pPr>
                    <w:pStyle w:val="ListParagraph"/>
                    <w:numPr>
                      <w:ilvl w:val="0"/>
                      <w:numId w:val="17"/>
                    </w:numPr>
                  </w:pPr>
                  <w:r>
                    <w:t xml:space="preserve">Present sufficient guarantees in terms of its organization, technical and human resources, and the professional experience of its managers.</w:t>
                  </w:r>
                </w:p>
                <w:p>
                  <w:pPr>
                    <w:pStyle w:val="BodyText"/>
                  </w:pPr>
                  <w:pPr>
                    <w:pStyle w:val="ListParagraph"/>
                    <w:numPr>
                      <w:ilvl w:val="0"/>
                      <w:numId w:val="17"/>
                    </w:numPr>
                  </w:pPr>
                  <w:r>
                    <w:t xml:space="preserve">Have the autonomous capacity to assess changes in eligible assets acquired by the FPCTs it manages and to implement the guarantees granted to the fund if necessary.</w:t>
                  </w:r>
                </w:p>
                <w:p>
                  <w:pPr>
                    <w:pStyle w:val="BodyText"/>
                  </w:pPr>
                  <w:pPr>
                    <w:pStyle w:val="ListParagraph"/>
                    <w:numPr>
                      <w:ilvl w:val="0"/>
                      <w:numId w:val="17"/>
                    </w:numPr>
                  </w:pPr>
                  <w:r>
                    <w:t xml:space="preserve">Its directors must not have been convicted of a criminal offense.</w:t>
                  </w:r>
                </w:p>
                <w:p>
                  <w:pPr>
                    <w:pStyle w:val="BodyText"/>
                  </w:pPr>
                  <w:pPr>
                    <w:pStyle w:val="ListParagraph"/>
                    <w:numPr>
                      <w:ilvl w:val="0"/>
                      <w:numId w:val="17"/>
                    </w:numPr>
                  </w:pPr>
                  <w:r>
                    <w:t xml:space="preserve">Its managers must undertake to comply with the rules of professional practice and ethics laid down in the circulars issued by the AMMC, in accordance with the legislation in force, and to ensure that these rules are observed and enforced by the staff working under their responsibility.</w:t>
                  </w:r>
                </w:p>
                <w:p>
                  <w:pPr>
                    <w:pStyle w:val="BodyText"/>
                  </w:pPr>
                  <w:r>
                    <w:t xml:space="preserve">The aforementioned conditions must be maintained throughout the period during which the managing establishment performs its FPCT management functions.</w:t>
                  </w: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Body"/>
                  </w:pPr>
                  <w:r>
                    <w:rPr>
                      <w:b/>
                    </w:rPr>
                    <w:t xml:space="preserve">Authorizations issued by BAM</w:t>
                  </w:r>
                </w:p>
                <w:p>
                  <w:pPr>
                    <w:pStyle w:val="BodyText"/>
                  </w:pPr>
                  <w:pPr>
                    <w:pStyle w:val="Body"/>
                  </w:pPr>
                  <w:r>
                    <w:t xml:space="preserve">The license for banking activities carried out in Morocco is issued by the Wali of Bank Al-Maghrib. The decision to grant or refuse approval is taken after consulting the Credit Institutions Committee, which includes representatives of Bank Al-Maghrib and the Ministry of Finance. This decision must be taken </w:t>
                  </w:r>
                  <w:r>
                    <w:t xml:space="preserve"> </w:t>
                  </w:r>
                  <w:r>
                    <w:t xml:space="preserve">within a maximum period of 120 days from receipt of all </w:t>
                  </w:r>
                  <w:r>
                    <w:t xml:space="preserve"> </w:t>
                  </w:r>
                  <w:r>
                    <w:t xml:space="preserve">the documents and information required to examine applications for authorization to carry out banking activities. Such documents and informationare listed in Bank Al-Maghrib circular n°5/W/15 of 20 May 2015.</w:t>
                  </w:r>
                </w:p>
                <w:p>
                  <w:pPr>
                    <w:pStyle w:val="BodyText"/>
                  </w:pPr>
                  <w:pPr>
                    <w:pStyle w:val="Body"/>
                  </w:pPr>
                  <w:r>
                    <w:t xml:space="preserve">In addition, applications for approval to carry on a participative banking activity must be accompanied by information relating to the system for complying with the opinions of the Conseil Supérieur des Ouléma, as well as the system for managing investment deposits and handling their holders.</w:t>
                  </w:r>
                </w:p>
                <w:p>
                  <w:pPr>
                    <w:pStyle w:val="BodyText"/>
                  </w:pPr>
                  <w:pPr>
                    <w:pStyle w:val="Body"/>
                  </w:pPr>
                  <w:r>
                    <w:t xml:space="preserve">Bank Al-Maghrib may request any additional information or documents relating to the approval application and the characteristics of the targeted activity or operation.</w:t>
                  </w:r>
                </w:p>
                <w:p>
                  <w:pPr>
                    <w:pStyle w:val="BodyText"/>
                  </w:pPr>
                  <w:pPr>
                    <w:pStyle w:val="Body"/>
                  </w:pPr>
                  <w:r>
                    <w:rPr>
                      <w:b/>
                    </w:rPr>
                    <w:t xml:space="preserve">Authorizations issued by the AMMC</w:t>
                  </w:r>
                </w:p>
                <w:p>
                  <w:pPr>
                    <w:pStyle w:val="BodyText"/>
                  </w:pPr>
                  <w:pPr>
                    <w:pStyle w:val="ListParagraph"/>
                    <w:numPr>
                      <w:ilvl w:val="0"/>
                      <w:numId w:val="10"/>
                    </w:numPr>
                  </w:pPr>
                  <w:r>
                    <w:t xml:space="preserve">For a brokerage firm:</w:t>
                  </w:r>
                </w:p>
                <w:p>
                  <w:pPr>
                    <w:pStyle w:val="BodyText"/>
                  </w:pPr>
                  <w:r>
                    <w:t xml:space="preserve">Only companies that are incorporated as public limited companies with their registered office in Morocco and whose principal activity is the execution of transactions in financial instruments and, where applicable, the exercise of related activities, may be approved as brokerage companies. The AMMC shall set up an Approval Committee, chaired by the AMMC Chairman, to give its opinion on applications for approval submitted by brokerage firms. Applications for approval must be sent to the AMMC by the founding members or directors of the brokerage firm for examination. The application must be accompanied by a file containing the following information:</w:t>
                  </w:r>
                </w:p>
                <w:p>
                  <w:pPr>
                    <w:pStyle w:val="BodyText"/>
                  </w:pPr>
                  <w:pPr>
                    <w:pStyle w:val="ListParagraph"/>
                    <w:numPr>
                      <w:ilvl w:val="1"/>
                      <w:numId w:val="11"/>
                    </w:numPr>
                    <w:ind w:left="1560"/>
                  </w:pPr>
                  <w:r>
                    <w:t xml:space="preserve">A copy of the draft articles of association</w:t>
                  </w:r>
                </w:p>
                <w:p>
                  <w:pPr>
                    <w:pStyle w:val="BodyText"/>
                  </w:pPr>
                  <w:pPr>
                    <w:pStyle w:val="ListParagraph"/>
                    <w:numPr>
                      <w:ilvl w:val="1"/>
                      <w:numId w:val="11"/>
                    </w:numPr>
                    <w:ind w:left="1560"/>
                  </w:pPr>
                  <w:r>
                    <w:t xml:space="preserve">The related activities envisaged </w:t>
                  </w:r>
                </w:p>
                <w:p>
                  <w:pPr>
                    <w:pStyle w:val="BodyText"/>
                  </w:pPr>
                  <w:pPr>
                    <w:pStyle w:val="ListParagraph"/>
                    <w:numPr>
                      <w:ilvl w:val="1"/>
                      <w:numId w:val="11"/>
                    </w:numPr>
                    <w:ind w:left="1560"/>
                  </w:pPr>
                  <w:r>
                    <w:t xml:space="preserve">The amount and distribution of share capital </w:t>
                  </w:r>
                </w:p>
                <w:p>
                  <w:pPr>
                    <w:pStyle w:val="BodyText"/>
                  </w:pPr>
                  <w:pPr>
                    <w:pStyle w:val="ListParagraph"/>
                    <w:numPr>
                      <w:ilvl w:val="1"/>
                      <w:numId w:val="11"/>
                    </w:numPr>
                    <w:ind w:left="1560"/>
                  </w:pPr>
                  <w:r>
                    <w:t xml:space="preserve">A list of the founders or directors </w:t>
                  </w:r>
                </w:p>
                <w:p>
                  <w:pPr>
                    <w:pStyle w:val="BodyText"/>
                  </w:pPr>
                  <w:pPr>
                    <w:pStyle w:val="ListParagraph"/>
                    <w:numPr>
                      <w:ilvl w:val="1"/>
                      <w:numId w:val="11"/>
                    </w:numPr>
                    <w:ind w:left="1560"/>
                  </w:pPr>
                  <w:r>
                    <w:t xml:space="preserve">The human and material resources and a description of the planned organization for the business of the brokerage company. </w:t>
                  </w:r>
                </w:p>
                <w:p>
                  <w:pPr>
                    <w:pStyle w:val="BodyText"/>
                  </w:pPr>
                  <w:r>
                    <w:t xml:space="preserve">The submission of the complete file accompanying the application for authorization is evidenced by a receipt duly dated and stamped by the AMMC. The AMMC may require applicants for authorization to submit any document or additional information it deems useful for examining the application for authorization within the time limits it sets. These additional requests suspend the deadline for examining the application for authorization.</w:t>
                  </w:r>
                </w:p>
                <w:p>
                  <w:pPr>
                    <w:pStyle w:val="BodyText"/>
                  </w:pPr>
                  <w:r>
                    <w:t xml:space="preserve"> </w:t>
                  </w:r>
                </w:p>
                <w:p>
                  <w:pPr>
                    <w:pStyle w:val="BodyText"/>
                  </w:pPr>
                  <w:pPr>
                    <w:pStyle w:val="ListParagraph"/>
                    <w:numPr>
                      <w:ilvl w:val="0"/>
                      <w:numId w:val="10"/>
                    </w:numPr>
                  </w:pPr>
                  <w:r>
                    <w:t xml:space="preserve">For a management company of Undertakings for Collective Investment in Capital (OPCC):</w:t>
                  </w:r>
                </w:p>
                <w:p>
                  <w:pPr>
                    <w:pStyle w:val="BodyText"/>
                  </w:pPr>
                  <w:r>
                    <w:t xml:space="preserve">All management companies of OPCCs must first be authorized by the AMMC before carrying on business. Applications for authorization must be submitted to the AMMC, which will issue a duly dated and signed receipt, together with a file containing the documents and information set out in an AMMC circular. When examining the file, the AMMC may request any additional documents or information relating to the documents and information contained in the file. Such additional documents and information must be filed with the AMMC within the time limit set by the AMMC. The AMMC will notify the management company of the OPCC of its decision to grant or refuse authorization by registered letter with acknowledgment of receipt or by any other means that ensures receipt, within 60 days from the date of filing of the file or the date of filing of the last document or additional information requested by the AMMC, provided that this maximum period for granting or refusing authorization does not exceed 120 days from the date of filing of the file. Reasons must be given in case of refusal. A copy of the application must be sent by the AMMC to the authorities for information.</w:t>
                  </w:r>
                </w:p>
                <w:p>
                  <w:pPr>
                    <w:pStyle w:val="BodyText"/>
                  </w:pPr>
                  <w:r>
                    <w:t xml:space="preserve">Before setting up an OPCC, the management company must submit to the AMMC an application for approval of the draft management regulations. The application must be accompanied by a file containing various documents required by the AMMC.</w:t>
                  </w:r>
                </w:p>
                <w:p>
                  <w:pPr>
                    <w:pStyle w:val="BodyText"/>
                  </w:pPr>
                  <w:r>
                    <w:t xml:space="preserve">The authorization application, together with the draft management regulations of the OPCC, must be filed by the management company with the AMMC, which will issue a duly dated and signed receipt within seven days of such filing.</w:t>
                  </w:r>
                </w:p>
                <w:p>
                  <w:pPr>
                    <w:pStyle w:val="BodyText"/>
                  </w:pPr>
                  <w:r>
                    <w:t xml:space="preserve">When examining the application, the AMMC may request any additional documents or information relating to the documents and information contained in the application. These additional documents and information must be filed with the AMMC within the time limit set by it.</w:t>
                  </w:r>
                </w:p>
                <w:p>
                  <w:pPr>
                    <w:pStyle w:val="BodyText"/>
                  </w:pPr>
                  <w:r>
                    <w:t xml:space="preserve">The AMMC will decide whether to grant or refuse authorization on the basis of the documents' compliance with the provisions of the law.</w:t>
                  </w:r>
                </w:p>
                <w:p>
                  <w:pPr>
                    <w:pStyle w:val="BodyText"/>
                  </w:pPr>
                  <w:r>
                    <w:t xml:space="preserve">The AMMC will notify the management company of the OPCC of the grant or refusal of authorization of the draft management regulations by registered letter with acknowledgment of receipt, or by any other means that provides proof of receipt within 30 days from the date of filing of the application or from the date of filing of the last document or additional information requested by the AMMC, provided that the maximum period for granting or refusing authorization does not exceed 90 days from the date of filing of the application. Reasons must be given in case of refusal.</w:t>
                  </w:r>
                </w:p>
                <w:p>
                  <w:pPr>
                    <w:pStyle w:val="BodyText"/>
                  </w:pPr>
                  <w:r>
                    <w:t xml:space="preserve"> </w:t>
                  </w:r>
                </w:p>
                <w:p>
                  <w:pPr>
                    <w:pStyle w:val="BodyText"/>
                  </w:pPr>
                  <w:pPr>
                    <w:pStyle w:val="ListParagraph"/>
                    <w:numPr>
                      <w:ilvl w:val="0"/>
                      <w:numId w:val="10"/>
                    </w:numPr>
                  </w:pPr>
                  <w:r>
                    <w:t xml:space="preserve">For management company of Real Estate Investment Schemes (OPCI):</w:t>
                  </w:r>
                </w:p>
                <w:p>
                  <w:pPr>
                    <w:pStyle w:val="BodyText"/>
                  </w:pPr>
                  <w:r>
                    <w:t xml:space="preserve">All OPCI management companies must be duly authorized by the AMMC prior to commencing business. The complete application file must be submitted by the management company to the AMMC, which will issue a duly dated and signed receipt.</w:t>
                  </w:r>
                </w:p>
                <w:p>
                  <w:pPr>
                    <w:pStyle w:val="BodyText"/>
                  </w:pPr>
                  <w:r>
                    <w:t xml:space="preserve">When examining the application for approval, the AMMC may, within a period of thirty 30 clear days from the date shown on the application receipt, request the applicant company to produce any additional documents deemed necessary by the AMMC.</w:t>
                  </w:r>
                </w:p>
                <w:p>
                  <w:pPr>
                    <w:pStyle w:val="BodyText"/>
                  </w:pPr>
                  <w:r>
                    <w:t xml:space="preserve">AMMC must notify the applicant company of the granting or refusal of approval by registered letter with acknowledgment of receipt or by any other means that provides proof of receipt within 30 clear days from the date shown on the application receipt or from the date of submission of the last additional document submitted after a request from the AMMC.</w:t>
                  </w:r>
                </w:p>
                <w:p>
                  <w:pPr>
                    <w:pStyle w:val="BodyText"/>
                  </w:pPr>
                  <w:r>
                    <w:t xml:space="preserve"> </w:t>
                  </w:r>
                </w:p>
                <w:p>
                  <w:pPr>
                    <w:pStyle w:val="BodyText"/>
                  </w:pPr>
                  <w:pPr>
                    <w:pStyle w:val="ListParagraph"/>
                    <w:numPr>
                      <w:ilvl w:val="0"/>
                      <w:numId w:val="10"/>
                    </w:numPr>
                  </w:pPr>
                  <w:r>
                    <w:t xml:space="preserve">For an institution managing securitization mutual funds (FPCT): </w:t>
                  </w:r>
                </w:p>
                <w:p>
                  <w:pPr>
                    <w:pStyle w:val="BodyText"/>
                  </w:pPr>
                  <w:pPr>
                    <w:ind w:left="720"/>
                  </w:pPr>
                  <w:r>
                    <w:t xml:space="preserve">The application for authorization must be sent in duplicate by the founders of the managing establishment to the administration for information and to the AMMC for examination. It must be accompanied by a file containing the information listed by the AMMC, including in particular the declarations and undertakings of its directors to comply with the legal provisions in force.</w:t>
                  </w:r>
                </w:p>
                <w:p>
                  <w:pPr>
                    <w:pStyle w:val="BodyText"/>
                  </w:pPr>
                  <w:pPr>
                    <w:ind w:left="720"/>
                  </w:pPr>
                  <w:r>
                    <w:t xml:space="preserve">Filing of the application is evidenced by a receipt duly dated and signed by the AMMC.</w:t>
                  </w:r>
                </w:p>
                <w:p>
                  <w:pPr>
                    <w:pStyle w:val="BodyText"/>
                  </w:pPr>
                  <w:pPr>
                    <w:ind w:left="720"/>
                  </w:pPr>
                  <w:r>
                    <w:t xml:space="preserve">The AMMC may require applicants to provide any additional information it deems useful for examining the application for approval. It may carry out documentary and on-site checks to ensure compliance with the declarations and undertakings set out in the application file.</w:t>
                  </w:r>
                </w:p>
                <w:p>
                  <w:pPr>
                    <w:pStyle w:val="BodyText"/>
                  </w:pPr>
                  <w:pPr>
                    <w:ind w:left="720"/>
                  </w:pPr>
                  <w:r>
                    <w:t xml:space="preserve">The AMMC examines the application and forwards its opinion to the authorities within a maximum period of two months from the date of submission of a complete application. A request for additional information suspends this time limit.</w:t>
                  </w:r>
                </w:p>
                <w:p>
                  <w:pPr>
                    <w:pStyle w:val="BodyText"/>
                  </w:pPr>
                  <w:pPr>
                    <w:ind w:left="720"/>
                  </w:pPr>
                  <w:r>
                    <w:t xml:space="preserve">The administration notifies the applicant company of the granting or refusal of approval by registered letter with acknowledgment of receipt.</w:t>
                  </w:r>
                </w:p>
                <w:p>
                  <w:pPr>
                    <w:pStyle w:val="BodyText"/>
                  </w:pPr>
                  <w:pPr>
                    <w:ind w:left="720"/>
                  </w:pPr>
                  <w:r>
                    <w:t xml:space="preserve">Reasons must be given in case of refusal.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Morocco does not currently have any passporting arrangements for banking services.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8"/>
    <w:lvlOverride w:ilvl="0">
      <w:startOverride w:val="1"/>
    </w:lvlOverride>
  </w:num>
  <w:num w:numId="16">
    <w:abstractNumId w:val="18"/>
    <w:lvlOverride w:ilvl="0">
      <w:startOverride w:val="1"/>
    </w:lvlOverride>
  </w:num>
  <w:num w:numId="17">
    <w:abstractNumId w:val="18"/>
    <w:lvlOverride w:ilvl="0">
      <w:startOverride w:val="1"/>
    </w:lvlOverride>
  </w:num>
  <w:num w:numId="18">
    <w:abstractNumId w:val="26"/>
    <w:lvlOverride w:ilvl="0">
      <w:startOverride w:val="1"/>
    </w:lvlOverride>
  </w:num>
  <w:num w:numId="19">
    <w:abstractNumId w:val="26"/>
    <w:lvlOverride w:ilvl="0">
      <w:startOverride w:val="1"/>
    </w:lvlOverride>
  </w:num>
  <w:num w:numId="20">
    <w:abstractNumId w:val="26"/>
    <w:lvlOverride w:ilvl="0">
      <w:startOverride w:val="1"/>
    </w:lvlOverride>
  </w:num>
  <w:num w:numId="21">
    <w:abstractNumId w:val="26"/>
    <w:lvlOverride w:ilvl="0">
      <w:startOverride w:val="1"/>
    </w:lvlOverride>
  </w:num>
  <w:num w:numId="22">
    <w:abstractNumId w:val="26"/>
    <w:lvlOverride w:ilvl="0">
      <w:startOverride w:val="1"/>
    </w:lvlOverride>
  </w:num>
  <w:num w:numId="23">
    <w:abstractNumId w:val="34"/>
    <w:lvlOverride w:ilvl="0">
      <w:startOverride w:val="1"/>
    </w:lvlOverride>
  </w:num>
  <w:num w:numId="24">
    <w:abstractNumId w:val="34"/>
    <w:lvlOverride w:ilvl="0">
      <w:startOverride w:val="1"/>
    </w:lvlOverride>
  </w:num>
  <w:num w:numId="25">
    <w:abstractNumId w:val="42"/>
    <w:lvlOverride w:ilvl="0">
      <w:startOverride w:val="1"/>
    </w:lvlOverride>
  </w:num>
  <w:num w:numId="26">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